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232BDE">
        <w:rPr>
          <w:rFonts w:ascii="Arial" w:hAnsi="Arial" w:cs="Arial"/>
          <w:sz w:val="24"/>
          <w:szCs w:val="24"/>
        </w:rPr>
        <w:t>1</w:t>
      </w:r>
      <w:r w:rsidR="00EC24C1">
        <w:rPr>
          <w:rFonts w:ascii="Arial" w:hAnsi="Arial" w:cs="Arial"/>
          <w:sz w:val="24"/>
          <w:szCs w:val="24"/>
        </w:rPr>
        <w:t>08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7E2A48">
        <w:rPr>
          <w:rFonts w:ascii="Arial" w:hAnsi="Arial" w:cs="Arial"/>
          <w:sz w:val="24"/>
          <w:szCs w:val="24"/>
        </w:rPr>
        <w:t>30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8C07AA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 w:rsidRPr="00232BDE">
        <w:rPr>
          <w:rFonts w:ascii="Arial" w:hAnsi="Arial" w:cs="Arial"/>
          <w:sz w:val="24"/>
          <w:szCs w:val="24"/>
        </w:rPr>
        <w:t xml:space="preserve">to </w:t>
      </w:r>
      <w:r w:rsidR="00EC24C1">
        <w:rPr>
          <w:rFonts w:ascii="Arial" w:eastAsia="Times New Roman" w:hAnsi="Arial" w:cs="Arial"/>
        </w:rPr>
        <w:t xml:space="preserve">funding on </w:t>
      </w:r>
      <w:r w:rsidR="00EC24C1" w:rsidRPr="00EC24C1">
        <w:rPr>
          <w:rFonts w:ascii="Arial" w:eastAsia="Times New Roman" w:hAnsi="Arial" w:cs="Arial"/>
          <w:sz w:val="24"/>
        </w:rPr>
        <w:t>interpreters and the</w:t>
      </w:r>
      <w:r w:rsidR="00EC24C1" w:rsidRPr="00EC24C1">
        <w:rPr>
          <w:rFonts w:ascii="Arial" w:eastAsia="Times New Roman" w:hAnsi="Arial" w:cs="Arial"/>
          <w:sz w:val="24"/>
        </w:rPr>
        <w:br/>
        <w:t xml:space="preserve">translation services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232BDE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153F92">
        <w:rPr>
          <w:rFonts w:ascii="Arial" w:hAnsi="Arial" w:cs="Arial"/>
          <w:sz w:val="24"/>
          <w:szCs w:val="24"/>
        </w:rPr>
        <w:t>02/08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5E10E7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5E10E7" w:rsidRPr="005E10E7">
        <w:rPr>
          <w:rFonts w:ascii="Arial" w:hAnsi="Arial" w:cs="Arial"/>
          <w:b/>
          <w:i/>
          <w:sz w:val="24"/>
          <w:szCs w:val="24"/>
        </w:rPr>
        <w:t xml:space="preserve"> and the Velindre University NHS Trust response is shown below</w:t>
      </w:r>
      <w:r w:rsidRPr="005E10E7">
        <w:rPr>
          <w:rFonts w:ascii="Arial" w:hAnsi="Arial" w:cs="Arial"/>
          <w:b/>
          <w:i/>
          <w:sz w:val="24"/>
          <w:szCs w:val="24"/>
        </w:rPr>
        <w:t>;</w:t>
      </w:r>
    </w:p>
    <w:p w:rsidR="005E10E7" w:rsidRDefault="005E10E7" w:rsidP="005E10E7">
      <w:pPr>
        <w:pStyle w:val="PlainText"/>
        <w:ind w:left="720"/>
      </w:pPr>
    </w:p>
    <w:p w:rsidR="00EC24C1" w:rsidRDefault="00EC24C1" w:rsidP="00EC24C1">
      <w:pPr>
        <w:numPr>
          <w:ilvl w:val="0"/>
          <w:numId w:val="34"/>
        </w:numPr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sz w:val="24"/>
        </w:rPr>
      </w:pPr>
      <w:r w:rsidRPr="00EC24C1">
        <w:rPr>
          <w:rFonts w:ascii="Arial" w:eastAsia="Times New Roman" w:hAnsi="Arial" w:cs="Arial"/>
          <w:sz w:val="24"/>
        </w:rPr>
        <w:t>How much the trust spent on foreign interpreters in each of the following financial years: 2019-20; 2020-21 and 2021-</w:t>
      </w:r>
      <w:proofErr w:type="gramStart"/>
      <w:r w:rsidRPr="00EC24C1">
        <w:rPr>
          <w:rFonts w:ascii="Arial" w:eastAsia="Times New Roman" w:hAnsi="Arial" w:cs="Arial"/>
          <w:sz w:val="24"/>
        </w:rPr>
        <w:t>22.</w:t>
      </w:r>
      <w:proofErr w:type="gramEnd"/>
    </w:p>
    <w:tbl>
      <w:tblPr>
        <w:tblW w:w="2871" w:type="dxa"/>
        <w:tblInd w:w="133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0"/>
        <w:gridCol w:w="951"/>
      </w:tblGrid>
      <w:tr w:rsidR="00EC24C1" w:rsidRPr="00EC24C1" w:rsidTr="00EC24C1">
        <w:trPr>
          <w:trHeight w:val="300"/>
        </w:trPr>
        <w:tc>
          <w:tcPr>
            <w:tcW w:w="19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Pr="00EC24C1" w:rsidRDefault="00EC24C1">
            <w:pPr>
              <w:rPr>
                <w:rFonts w:ascii="Arial" w:hAnsi="Arial" w:cs="Arial"/>
                <w:color w:val="000000"/>
              </w:rPr>
            </w:pPr>
            <w:r w:rsidRPr="00EC24C1">
              <w:rPr>
                <w:rFonts w:ascii="Arial" w:hAnsi="Arial" w:cs="Arial"/>
                <w:color w:val="000000"/>
              </w:rPr>
              <w:t>Year</w:t>
            </w:r>
          </w:p>
        </w:tc>
        <w:tc>
          <w:tcPr>
            <w:tcW w:w="9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Pr="00EC24C1" w:rsidRDefault="00EC24C1">
            <w:pPr>
              <w:jc w:val="center"/>
              <w:rPr>
                <w:rFonts w:ascii="Arial" w:hAnsi="Arial" w:cs="Arial"/>
                <w:color w:val="000000"/>
              </w:rPr>
            </w:pPr>
            <w:r w:rsidRPr="00EC24C1">
              <w:rPr>
                <w:rFonts w:ascii="Arial" w:hAnsi="Arial" w:cs="Arial"/>
                <w:color w:val="000000"/>
              </w:rPr>
              <w:t>£</w:t>
            </w:r>
          </w:p>
        </w:tc>
      </w:tr>
      <w:tr w:rsidR="00EC24C1" w:rsidRPr="00EC24C1" w:rsidTr="00EC24C1">
        <w:trPr>
          <w:trHeight w:val="300"/>
        </w:trPr>
        <w:tc>
          <w:tcPr>
            <w:tcW w:w="19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Pr="00EC24C1" w:rsidRDefault="00EC24C1">
            <w:pPr>
              <w:rPr>
                <w:rFonts w:ascii="Arial" w:hAnsi="Arial" w:cs="Arial"/>
                <w:color w:val="000000"/>
              </w:rPr>
            </w:pPr>
            <w:r w:rsidRPr="00EC24C1">
              <w:rPr>
                <w:rFonts w:ascii="Arial" w:hAnsi="Arial" w:cs="Arial"/>
                <w:color w:val="000000"/>
              </w:rPr>
              <w:t>2019-20</w:t>
            </w:r>
          </w:p>
        </w:tc>
        <w:tc>
          <w:tcPr>
            <w:tcW w:w="9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Pr="00EC24C1" w:rsidRDefault="00EC24C1">
            <w:pPr>
              <w:jc w:val="right"/>
              <w:rPr>
                <w:rFonts w:ascii="Arial" w:hAnsi="Arial" w:cs="Arial"/>
                <w:color w:val="000000"/>
              </w:rPr>
            </w:pPr>
            <w:r w:rsidRPr="00EC24C1">
              <w:rPr>
                <w:rFonts w:ascii="Arial" w:hAnsi="Arial" w:cs="Arial"/>
                <w:color w:val="000000"/>
              </w:rPr>
              <w:t>31,188</w:t>
            </w:r>
          </w:p>
        </w:tc>
      </w:tr>
      <w:tr w:rsidR="00EC24C1" w:rsidRPr="00EC24C1" w:rsidTr="00EC24C1">
        <w:trPr>
          <w:trHeight w:val="300"/>
        </w:trPr>
        <w:tc>
          <w:tcPr>
            <w:tcW w:w="19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Pr="00EC24C1" w:rsidRDefault="00EC24C1">
            <w:pPr>
              <w:rPr>
                <w:rFonts w:ascii="Arial" w:hAnsi="Arial" w:cs="Arial"/>
                <w:color w:val="000000"/>
              </w:rPr>
            </w:pPr>
            <w:r w:rsidRPr="00EC24C1">
              <w:rPr>
                <w:rFonts w:ascii="Arial" w:hAnsi="Arial" w:cs="Arial"/>
                <w:color w:val="000000"/>
              </w:rPr>
              <w:t>2020-21</w:t>
            </w:r>
          </w:p>
        </w:tc>
        <w:tc>
          <w:tcPr>
            <w:tcW w:w="9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Pr="00EC24C1" w:rsidRDefault="00EC24C1">
            <w:pPr>
              <w:jc w:val="right"/>
              <w:rPr>
                <w:rFonts w:ascii="Arial" w:hAnsi="Arial" w:cs="Arial"/>
                <w:color w:val="000000"/>
              </w:rPr>
            </w:pPr>
            <w:r w:rsidRPr="00EC24C1">
              <w:rPr>
                <w:rFonts w:ascii="Arial" w:hAnsi="Arial" w:cs="Arial"/>
                <w:color w:val="000000"/>
              </w:rPr>
              <w:t>22,651</w:t>
            </w:r>
          </w:p>
        </w:tc>
      </w:tr>
      <w:tr w:rsidR="00EC24C1" w:rsidRPr="00EC24C1" w:rsidTr="00EC24C1">
        <w:trPr>
          <w:trHeight w:val="300"/>
        </w:trPr>
        <w:tc>
          <w:tcPr>
            <w:tcW w:w="19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Pr="00EC24C1" w:rsidRDefault="00EC24C1">
            <w:pPr>
              <w:rPr>
                <w:rFonts w:ascii="Arial" w:hAnsi="Arial" w:cs="Arial"/>
                <w:color w:val="000000"/>
              </w:rPr>
            </w:pPr>
            <w:r w:rsidRPr="00EC24C1">
              <w:rPr>
                <w:rFonts w:ascii="Arial" w:hAnsi="Arial" w:cs="Arial"/>
                <w:color w:val="000000"/>
              </w:rPr>
              <w:t>2021-22</w:t>
            </w:r>
          </w:p>
        </w:tc>
        <w:tc>
          <w:tcPr>
            <w:tcW w:w="9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Pr="00EC24C1" w:rsidRDefault="00EC24C1">
            <w:pPr>
              <w:jc w:val="right"/>
              <w:rPr>
                <w:rFonts w:ascii="Arial" w:hAnsi="Arial" w:cs="Arial"/>
                <w:color w:val="000000"/>
              </w:rPr>
            </w:pPr>
            <w:r w:rsidRPr="00EC24C1">
              <w:rPr>
                <w:rFonts w:ascii="Arial" w:hAnsi="Arial" w:cs="Arial"/>
                <w:color w:val="000000"/>
              </w:rPr>
              <w:t>21,975</w:t>
            </w:r>
          </w:p>
        </w:tc>
      </w:tr>
    </w:tbl>
    <w:p w:rsidR="00EC24C1" w:rsidRDefault="00EC24C1" w:rsidP="00EC24C1">
      <w:pPr>
        <w:numPr>
          <w:ilvl w:val="0"/>
          <w:numId w:val="34"/>
        </w:numPr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sz w:val="24"/>
        </w:rPr>
      </w:pPr>
      <w:r w:rsidRPr="00EC24C1">
        <w:rPr>
          <w:rFonts w:ascii="Arial" w:eastAsia="Times New Roman" w:hAnsi="Arial" w:cs="Arial"/>
          <w:sz w:val="24"/>
        </w:rPr>
        <w:t>A breakdown of the languages that an interpreter was needed to translate.</w:t>
      </w:r>
    </w:p>
    <w:p w:rsidR="00EC24C1" w:rsidRDefault="00EC24C1">
      <w:pPr>
        <w:jc w:val="center"/>
        <w:rPr>
          <w:rFonts w:ascii="Arial" w:hAnsi="Arial" w:cs="Arial"/>
          <w:color w:val="000000"/>
          <w:sz w:val="20"/>
          <w:szCs w:val="20"/>
        </w:rPr>
        <w:sectPr w:rsidR="00EC24C1" w:rsidSect="00040C67">
          <w:headerReference w:type="default" r:id="rId8"/>
          <w:footerReference w:type="default" r:id="rId9"/>
          <w:pgSz w:w="11906" w:h="16838"/>
          <w:pgMar w:top="1440" w:right="1440" w:bottom="1440" w:left="1440" w:header="708" w:footer="1451" w:gutter="0"/>
          <w:cols w:space="708"/>
          <w:docGrid w:linePitch="360"/>
        </w:sectPr>
      </w:pPr>
    </w:p>
    <w:tbl>
      <w:tblPr>
        <w:tblW w:w="351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17"/>
      </w:tblGrid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Polish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Farsi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Turkish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Slovak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Hungarian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Bengali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Albanian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Romanian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Spanish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Portuguese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Arabic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Kurdish Sorani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French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Somali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Cantonese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Sylheti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Mandarin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Urdu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Punjabi Pakistani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Punjabi Indian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Hindi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Tigrinya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Gujarati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Amharic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Czech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German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Dari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Italian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Bulgarian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Russian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Vietnamese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Thai</w:t>
            </w:r>
          </w:p>
        </w:tc>
      </w:tr>
      <w:tr w:rsidR="00EC24C1" w:rsidTr="00EC24C1">
        <w:trPr>
          <w:trHeight w:val="296"/>
        </w:trPr>
        <w:tc>
          <w:tcPr>
            <w:tcW w:w="351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C24C1" w:rsidRDefault="00EC24C1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Tamil</w:t>
            </w:r>
          </w:p>
        </w:tc>
      </w:tr>
    </w:tbl>
    <w:p w:rsidR="00EC24C1" w:rsidRDefault="00EC24C1" w:rsidP="00EC24C1">
      <w:pPr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sz w:val="24"/>
        </w:rPr>
        <w:sectPr w:rsidR="00EC24C1" w:rsidSect="00EC24C1">
          <w:type w:val="continuous"/>
          <w:pgSz w:w="11906" w:h="16838"/>
          <w:pgMar w:top="1440" w:right="1440" w:bottom="1440" w:left="1440" w:header="708" w:footer="1451" w:gutter="0"/>
          <w:cols w:num="2" w:space="708"/>
          <w:docGrid w:linePitch="360"/>
        </w:sectPr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10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1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EC24C1">
      <w:type w:val="continuous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8C07A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C24C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0B141EC"/>
    <w:multiLevelType w:val="multilevel"/>
    <w:tmpl w:val="8A10F4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9"/>
  </w:num>
  <w:num w:numId="4">
    <w:abstractNumId w:val="20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6"/>
  </w:num>
  <w:num w:numId="8">
    <w:abstractNumId w:val="2"/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7"/>
  </w:num>
  <w:num w:numId="12">
    <w:abstractNumId w:val="31"/>
  </w:num>
  <w:num w:numId="13">
    <w:abstractNumId w:val="16"/>
  </w:num>
  <w:num w:numId="14">
    <w:abstractNumId w:val="8"/>
  </w:num>
  <w:num w:numId="1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5"/>
  </w:num>
  <w:num w:numId="22">
    <w:abstractNumId w:val="21"/>
  </w:num>
  <w:num w:numId="23">
    <w:abstractNumId w:val="28"/>
  </w:num>
  <w:num w:numId="24">
    <w:abstractNumId w:val="22"/>
  </w:num>
  <w:num w:numId="25">
    <w:abstractNumId w:val="11"/>
  </w:num>
  <w:num w:numId="26">
    <w:abstractNumId w:val="19"/>
  </w:num>
  <w:num w:numId="27">
    <w:abstractNumId w:val="30"/>
  </w:num>
  <w:num w:numId="28">
    <w:abstractNumId w:val="10"/>
  </w:num>
  <w:num w:numId="29">
    <w:abstractNumId w:val="29"/>
  </w:num>
  <w:num w:numId="30">
    <w:abstractNumId w:val="15"/>
  </w:num>
  <w:num w:numId="31">
    <w:abstractNumId w:val="17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  <w:num w:numId="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184E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7E2A48"/>
    <w:rsid w:val="00825E79"/>
    <w:rsid w:val="00826287"/>
    <w:rsid w:val="008442E9"/>
    <w:rsid w:val="00873694"/>
    <w:rsid w:val="00877DB3"/>
    <w:rsid w:val="00885C2E"/>
    <w:rsid w:val="008C07AA"/>
    <w:rsid w:val="00913AC7"/>
    <w:rsid w:val="00956100"/>
    <w:rsid w:val="00985707"/>
    <w:rsid w:val="009940D8"/>
    <w:rsid w:val="009A144B"/>
    <w:rsid w:val="009C2293"/>
    <w:rsid w:val="009D73C2"/>
    <w:rsid w:val="00A14C5F"/>
    <w:rsid w:val="00A47A21"/>
    <w:rsid w:val="00A70467"/>
    <w:rsid w:val="00A97092"/>
    <w:rsid w:val="00AA5A7D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24C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1"/>
    <o:shapelayout v:ext="edit">
      <o:idmap v:ext="edit" data="1"/>
    </o:shapelayout>
  </w:shapeDefaults>
  <w:decimalSymbol w:val="."/>
  <w:listSeparator w:val=","/>
  <w14:docId w14:val="51B97920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wales@ico.org.u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FOI.VUNHST@wales.nhs.uk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4E640C-1A65-424D-AF5A-894639BE8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2022-08-30T14:05:00Z</dcterms:created>
  <dcterms:modified xsi:type="dcterms:W3CDTF">2022-08-30T14:05:00Z</dcterms:modified>
</cp:coreProperties>
</file>