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Pr>
          <w:rFonts w:ascii="Arial" w:hAnsi="Arial" w:cs="Arial"/>
          <w:sz w:val="24"/>
          <w:szCs w:val="24"/>
        </w:rPr>
        <w:tab/>
      </w:r>
      <w:r w:rsidR="00BA222D">
        <w:rPr>
          <w:rFonts w:ascii="Arial" w:hAnsi="Arial" w:cs="Arial"/>
          <w:sz w:val="24"/>
          <w:szCs w:val="24"/>
        </w:rPr>
        <w:tab/>
      </w:r>
      <w:r w:rsidR="00612199">
        <w:rPr>
          <w:rFonts w:ascii="Arial" w:hAnsi="Arial" w:cs="Arial"/>
          <w:sz w:val="24"/>
          <w:szCs w:val="24"/>
        </w:rPr>
        <w:tab/>
      </w:r>
      <w:r w:rsidR="00612199">
        <w:rPr>
          <w:rFonts w:ascii="Arial" w:hAnsi="Arial" w:cs="Arial"/>
          <w:sz w:val="24"/>
          <w:szCs w:val="24"/>
        </w:rPr>
        <w:tab/>
      </w:r>
      <w:r w:rsidR="00612199">
        <w:rPr>
          <w:rFonts w:ascii="Arial" w:hAnsi="Arial" w:cs="Arial"/>
          <w:sz w:val="24"/>
          <w:szCs w:val="24"/>
        </w:rPr>
        <w:tab/>
      </w:r>
      <w:r w:rsidR="00612199">
        <w:rPr>
          <w:rFonts w:ascii="Arial" w:hAnsi="Arial" w:cs="Arial"/>
          <w:sz w:val="24"/>
          <w:szCs w:val="24"/>
        </w:rPr>
        <w:tab/>
      </w:r>
      <w:r w:rsidR="00612199">
        <w:rPr>
          <w:rFonts w:ascii="Arial" w:hAnsi="Arial" w:cs="Arial"/>
          <w:sz w:val="24"/>
          <w:szCs w:val="24"/>
        </w:rPr>
        <w:tab/>
      </w:r>
      <w:r w:rsidR="00612199">
        <w:rPr>
          <w:rFonts w:ascii="Arial" w:hAnsi="Arial" w:cs="Arial"/>
          <w:sz w:val="24"/>
          <w:szCs w:val="24"/>
        </w:rPr>
        <w:tab/>
        <w:t xml:space="preserve">      Ref: CORP 2021 - 1</w:t>
      </w:r>
      <w:r w:rsidR="00B50723">
        <w:rPr>
          <w:rFonts w:ascii="Arial" w:hAnsi="Arial" w:cs="Arial"/>
          <w:sz w:val="24"/>
          <w:szCs w:val="24"/>
        </w:rPr>
        <w:t>1</w:t>
      </w:r>
      <w:r w:rsidR="006D176A">
        <w:rPr>
          <w:rFonts w:ascii="Arial" w:hAnsi="Arial" w:cs="Arial"/>
          <w:sz w:val="24"/>
          <w:szCs w:val="24"/>
        </w:rPr>
        <w:t>2</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00612199">
        <w:rPr>
          <w:rFonts w:ascii="Arial" w:hAnsi="Arial" w:cs="Arial"/>
          <w:sz w:val="24"/>
          <w:szCs w:val="24"/>
        </w:rPr>
        <w:tab/>
        <w:t xml:space="preserve">      </w:t>
      </w:r>
      <w:r w:rsidRPr="00FD7500">
        <w:rPr>
          <w:rFonts w:ascii="Arial" w:hAnsi="Arial" w:cs="Arial"/>
          <w:sz w:val="24"/>
          <w:szCs w:val="24"/>
        </w:rPr>
        <w:t>Date:</w:t>
      </w:r>
      <w:r>
        <w:rPr>
          <w:rFonts w:ascii="Arial" w:hAnsi="Arial" w:cs="Arial"/>
          <w:sz w:val="24"/>
          <w:szCs w:val="24"/>
        </w:rPr>
        <w:t xml:space="preserve"> </w:t>
      </w:r>
      <w:r w:rsidR="00ED324E">
        <w:rPr>
          <w:rFonts w:ascii="Arial" w:hAnsi="Arial" w:cs="Arial"/>
          <w:sz w:val="24"/>
          <w:szCs w:val="24"/>
        </w:rPr>
        <w:t>28</w:t>
      </w:r>
      <w:r w:rsidR="009F05CA">
        <w:rPr>
          <w:rFonts w:ascii="Arial" w:hAnsi="Arial" w:cs="Arial"/>
          <w:sz w:val="24"/>
          <w:szCs w:val="24"/>
        </w:rPr>
        <w:t>/10</w:t>
      </w:r>
      <w:r>
        <w:rPr>
          <w:rFonts w:ascii="Arial" w:hAnsi="Arial" w:cs="Arial"/>
          <w:sz w:val="24"/>
          <w:szCs w:val="24"/>
        </w:rPr>
        <w:t>/</w:t>
      </w:r>
      <w:r w:rsidRPr="00FD7500">
        <w:rPr>
          <w:rFonts w:ascii="Arial" w:hAnsi="Arial" w:cs="Arial"/>
          <w:sz w:val="24"/>
          <w:szCs w:val="24"/>
        </w:rPr>
        <w:t>20</w:t>
      </w:r>
      <w:r>
        <w:rPr>
          <w:rFonts w:ascii="Arial" w:hAnsi="Arial" w:cs="Arial"/>
          <w:sz w:val="24"/>
          <w:szCs w:val="24"/>
        </w:rPr>
        <w:t>21</w:t>
      </w:r>
    </w:p>
    <w:p w:rsidR="00E24B12" w:rsidRDefault="00E24B12" w:rsidP="00E24B12">
      <w:pPr>
        <w:tabs>
          <w:tab w:val="left" w:pos="9360"/>
        </w:tabs>
        <w:spacing w:after="0"/>
        <w:ind w:right="1412"/>
        <w:rPr>
          <w:rFonts w:ascii="Arial" w:hAnsi="Arial" w:cs="Arial"/>
          <w:sz w:val="24"/>
          <w:szCs w:val="24"/>
        </w:rPr>
      </w:pPr>
      <w:r>
        <w:rPr>
          <w:rFonts w:ascii="Arial" w:hAnsi="Arial" w:cs="Arial"/>
          <w:sz w:val="24"/>
          <w:szCs w:val="24"/>
        </w:rPr>
        <w:t xml:space="preserve">Dear </w:t>
      </w:r>
      <w:r w:rsidR="003E1903">
        <w:rPr>
          <w:rFonts w:ascii="Arial" w:hAnsi="Arial" w:cs="Arial"/>
          <w:sz w:val="24"/>
          <w:szCs w:val="24"/>
        </w:rPr>
        <w:t>****</w:t>
      </w:r>
      <w:bookmarkStart w:id="0" w:name="_GoBack"/>
      <w:bookmarkEnd w:id="0"/>
    </w:p>
    <w:p w:rsidR="002F346E" w:rsidRPr="00FD7500" w:rsidRDefault="002F346E" w:rsidP="00E24B12">
      <w:pPr>
        <w:tabs>
          <w:tab w:val="left" w:pos="9360"/>
        </w:tabs>
        <w:spacing w:after="0"/>
        <w:ind w:right="1412"/>
        <w:rPr>
          <w:rFonts w:ascii="Arial" w:hAnsi="Arial" w:cs="Arial"/>
          <w:sz w:val="24"/>
          <w:szCs w:val="24"/>
        </w:rPr>
      </w:pPr>
    </w:p>
    <w:p w:rsidR="00E24B12" w:rsidRPr="00FD7500" w:rsidRDefault="00E24B12" w:rsidP="00E24B12">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sidRPr="00FD7500">
        <w:rPr>
          <w:rFonts w:ascii="Arial" w:hAnsi="Arial" w:cs="Arial"/>
          <w:sz w:val="24"/>
          <w:szCs w:val="24"/>
        </w:rPr>
        <w:t xml:space="preserve">Thank you for your request for </w:t>
      </w:r>
      <w:r w:rsidR="00AF14A8">
        <w:rPr>
          <w:rFonts w:ascii="Arial" w:hAnsi="Arial" w:cs="Arial"/>
          <w:sz w:val="24"/>
          <w:szCs w:val="24"/>
        </w:rPr>
        <w:t>i</w:t>
      </w:r>
      <w:r w:rsidR="00AF14A8" w:rsidRPr="00AF14A8">
        <w:rPr>
          <w:rFonts w:ascii="Arial" w:hAnsi="Arial" w:cs="Arial"/>
          <w:sz w:val="24"/>
          <w:szCs w:val="24"/>
        </w:rPr>
        <w:t xml:space="preserve">nformation </w:t>
      </w:r>
      <w:r w:rsidR="00AF14A8">
        <w:rPr>
          <w:rFonts w:ascii="Arial" w:hAnsi="Arial" w:cs="Arial"/>
          <w:sz w:val="24"/>
          <w:szCs w:val="24"/>
        </w:rPr>
        <w:t xml:space="preserve">in relation </w:t>
      </w:r>
      <w:r w:rsidR="006D176A">
        <w:rPr>
          <w:rFonts w:ascii="Arial" w:hAnsi="Arial" w:cs="Arial"/>
          <w:sz w:val="24"/>
          <w:szCs w:val="24"/>
        </w:rPr>
        <w:t xml:space="preserve">the Gateway Review involving </w:t>
      </w:r>
      <w:proofErr w:type="spellStart"/>
      <w:r w:rsidR="006D176A">
        <w:rPr>
          <w:rFonts w:ascii="Arial" w:hAnsi="Arial" w:cs="Arial"/>
          <w:sz w:val="24"/>
          <w:szCs w:val="24"/>
        </w:rPr>
        <w:t>Dr</w:t>
      </w:r>
      <w:proofErr w:type="spellEnd"/>
      <w:r w:rsidR="006D176A">
        <w:rPr>
          <w:rFonts w:ascii="Arial" w:hAnsi="Arial" w:cs="Arial"/>
          <w:sz w:val="24"/>
          <w:szCs w:val="24"/>
        </w:rPr>
        <w:t xml:space="preserve"> Jane Barrett</w:t>
      </w:r>
      <w:r w:rsidRPr="00FD7500">
        <w:rPr>
          <w:rFonts w:ascii="Arial" w:hAnsi="Arial" w:cs="Arial"/>
          <w:sz w:val="24"/>
          <w:szCs w:val="24"/>
        </w:rPr>
        <w:t xml:space="preserve"> which we received on</w:t>
      </w:r>
      <w:r>
        <w:rPr>
          <w:rFonts w:ascii="Arial" w:hAnsi="Arial" w:cs="Arial"/>
          <w:sz w:val="24"/>
          <w:szCs w:val="24"/>
        </w:rPr>
        <w:t xml:space="preserve"> </w:t>
      </w:r>
      <w:r w:rsidR="00612199">
        <w:rPr>
          <w:rFonts w:ascii="Arial" w:hAnsi="Arial" w:cs="Arial"/>
          <w:sz w:val="24"/>
          <w:szCs w:val="24"/>
        </w:rPr>
        <w:t>1</w:t>
      </w:r>
      <w:r w:rsidR="002F346E">
        <w:rPr>
          <w:rFonts w:ascii="Arial" w:hAnsi="Arial" w:cs="Arial"/>
          <w:sz w:val="24"/>
          <w:szCs w:val="24"/>
        </w:rPr>
        <w:t>6</w:t>
      </w:r>
      <w:r w:rsidR="00612199">
        <w:rPr>
          <w:rFonts w:ascii="Arial" w:hAnsi="Arial" w:cs="Arial"/>
          <w:sz w:val="24"/>
          <w:szCs w:val="24"/>
        </w:rPr>
        <w:t>/09</w:t>
      </w:r>
      <w:r>
        <w:rPr>
          <w:rFonts w:ascii="Arial" w:hAnsi="Arial" w:cs="Arial"/>
          <w:sz w:val="24"/>
          <w:szCs w:val="24"/>
        </w:rPr>
        <w:t xml:space="preserve">/2021.  </w:t>
      </w:r>
    </w:p>
    <w:p w:rsidR="00E24B12" w:rsidRPr="00FD7500" w:rsidRDefault="00E24B12" w:rsidP="00E24B12">
      <w:pPr>
        <w:spacing w:after="0"/>
        <w:jc w:val="both"/>
        <w:rPr>
          <w:rFonts w:ascii="Arial" w:hAnsi="Arial" w:cs="Arial"/>
          <w:sz w:val="24"/>
          <w:szCs w:val="24"/>
        </w:rPr>
      </w:pPr>
    </w:p>
    <w:p w:rsidR="00E24B12" w:rsidRPr="00FD7500" w:rsidRDefault="00E24B12" w:rsidP="00B50723">
      <w:pPr>
        <w:spacing w:after="0"/>
        <w:contextualSpacing/>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Request</w:t>
      </w:r>
      <w:r w:rsidR="006D176A">
        <w:rPr>
          <w:rFonts w:ascii="Arial" w:hAnsi="Arial" w:cs="Arial"/>
          <w:b/>
          <w:i/>
          <w:sz w:val="24"/>
          <w:szCs w:val="24"/>
        </w:rPr>
        <w:t>;</w:t>
      </w:r>
    </w:p>
    <w:p w:rsidR="00E24B12" w:rsidRPr="00E12072" w:rsidRDefault="00E24B12" w:rsidP="00E24B12">
      <w:pPr>
        <w:spacing w:after="0"/>
        <w:jc w:val="both"/>
        <w:rPr>
          <w:rFonts w:ascii="Arial" w:hAnsi="Arial" w:cs="Arial"/>
          <w:b/>
          <w:i/>
          <w:sz w:val="28"/>
          <w:szCs w:val="24"/>
        </w:rPr>
      </w:pPr>
    </w:p>
    <w:p w:rsidR="006D176A" w:rsidRPr="006D176A" w:rsidRDefault="006D176A" w:rsidP="006D176A">
      <w:pPr>
        <w:pStyle w:val="ListParagraph"/>
        <w:numPr>
          <w:ilvl w:val="0"/>
          <w:numId w:val="10"/>
        </w:numPr>
        <w:rPr>
          <w:rFonts w:ascii="Arial" w:eastAsia="Times New Roman" w:hAnsi="Arial" w:cs="Arial"/>
          <w:sz w:val="24"/>
        </w:rPr>
      </w:pPr>
      <w:r w:rsidRPr="006D176A">
        <w:rPr>
          <w:rFonts w:ascii="Arial" w:eastAsia="Times New Roman" w:hAnsi="Arial" w:cs="Arial"/>
          <w:sz w:val="24"/>
          <w:szCs w:val="23"/>
        </w:rPr>
        <w:t xml:space="preserve">There appears to be a discrepancy here. </w:t>
      </w:r>
      <w:proofErr w:type="spellStart"/>
      <w:r w:rsidRPr="006D176A">
        <w:rPr>
          <w:rFonts w:ascii="Arial" w:eastAsia="Times New Roman" w:hAnsi="Arial" w:cs="Arial"/>
          <w:sz w:val="24"/>
          <w:szCs w:val="23"/>
        </w:rPr>
        <w:t>Dr</w:t>
      </w:r>
      <w:proofErr w:type="spellEnd"/>
      <w:r w:rsidRPr="006D176A">
        <w:rPr>
          <w:rFonts w:ascii="Arial" w:eastAsia="Times New Roman" w:hAnsi="Arial" w:cs="Arial"/>
          <w:sz w:val="24"/>
          <w:szCs w:val="23"/>
        </w:rPr>
        <w:t xml:space="preserve"> BARRETT clearly states she was not the clinical lead involved in a review into the redevelopment of Velindre. Can you please explain why Velindre is stating </w:t>
      </w:r>
      <w:proofErr w:type="spellStart"/>
      <w:r w:rsidRPr="006D176A">
        <w:rPr>
          <w:rFonts w:ascii="Arial" w:eastAsia="Times New Roman" w:hAnsi="Arial" w:cs="Arial"/>
          <w:sz w:val="24"/>
          <w:szCs w:val="23"/>
        </w:rPr>
        <w:t>Dr</w:t>
      </w:r>
      <w:proofErr w:type="spellEnd"/>
      <w:r w:rsidRPr="006D176A">
        <w:rPr>
          <w:rFonts w:ascii="Arial" w:eastAsia="Times New Roman" w:hAnsi="Arial" w:cs="Arial"/>
          <w:sz w:val="24"/>
          <w:szCs w:val="23"/>
        </w:rPr>
        <w:t xml:space="preserve"> BARRETT was the external clinical lead into the project? Again, can I ask for a copy of </w:t>
      </w:r>
      <w:proofErr w:type="spellStart"/>
      <w:r w:rsidRPr="006D176A">
        <w:rPr>
          <w:rFonts w:ascii="Arial" w:eastAsia="Times New Roman" w:hAnsi="Arial" w:cs="Arial"/>
          <w:sz w:val="24"/>
          <w:szCs w:val="23"/>
        </w:rPr>
        <w:t>Dr</w:t>
      </w:r>
      <w:proofErr w:type="spellEnd"/>
      <w:r w:rsidRPr="006D176A">
        <w:rPr>
          <w:rFonts w:ascii="Arial" w:eastAsia="Times New Roman" w:hAnsi="Arial" w:cs="Arial"/>
          <w:sz w:val="24"/>
          <w:szCs w:val="23"/>
        </w:rPr>
        <w:t xml:space="preserve"> BARRETT’s work to be forwarded to me, she is clearly happy for this to take place? If this is not possible, can a GMC registered Consultant confirm they have read the document in which </w:t>
      </w:r>
      <w:proofErr w:type="spellStart"/>
      <w:r w:rsidRPr="006D176A">
        <w:rPr>
          <w:rFonts w:ascii="Arial" w:eastAsia="Times New Roman" w:hAnsi="Arial" w:cs="Arial"/>
          <w:sz w:val="24"/>
          <w:szCs w:val="23"/>
        </w:rPr>
        <w:t>Dr</w:t>
      </w:r>
      <w:proofErr w:type="spellEnd"/>
      <w:r w:rsidRPr="006D176A">
        <w:rPr>
          <w:rFonts w:ascii="Arial" w:eastAsia="Times New Roman" w:hAnsi="Arial" w:cs="Arial"/>
          <w:sz w:val="24"/>
          <w:szCs w:val="23"/>
        </w:rPr>
        <w:t xml:space="preserve"> BARRETT is the overarching clinical lead, not simply a member of a multi professional panel / board / group. Again, please accept my thanks for your help in this matter. </w:t>
      </w:r>
    </w:p>
    <w:p w:rsidR="002F346E" w:rsidRDefault="006D176A" w:rsidP="002F346E">
      <w:pPr>
        <w:pStyle w:val="gmail-msonospacing"/>
        <w:spacing w:before="0" w:beforeAutospacing="0" w:after="0" w:afterAutospacing="0"/>
        <w:rPr>
          <w:rFonts w:ascii="Arial" w:hAnsi="Arial" w:cs="Arial"/>
          <w:b/>
          <w:i/>
        </w:rPr>
      </w:pPr>
      <w:r w:rsidRPr="00FD7500">
        <w:rPr>
          <w:rFonts w:ascii="Arial" w:hAnsi="Arial" w:cs="Arial"/>
          <w:b/>
          <w:i/>
        </w:rPr>
        <w:t xml:space="preserve">Velindre </w:t>
      </w:r>
      <w:r>
        <w:rPr>
          <w:rFonts w:ascii="Arial" w:hAnsi="Arial" w:cs="Arial"/>
          <w:b/>
          <w:i/>
        </w:rPr>
        <w:t xml:space="preserve">University </w:t>
      </w:r>
      <w:r w:rsidRPr="00FD7500">
        <w:rPr>
          <w:rFonts w:ascii="Arial" w:hAnsi="Arial" w:cs="Arial"/>
          <w:b/>
          <w:i/>
        </w:rPr>
        <w:t>NHS Trust response</w:t>
      </w:r>
      <w:r>
        <w:rPr>
          <w:rFonts w:ascii="Arial" w:hAnsi="Arial" w:cs="Arial"/>
          <w:b/>
          <w:i/>
        </w:rPr>
        <w:t xml:space="preserve"> </w:t>
      </w:r>
      <w:r w:rsidRPr="00FD7500">
        <w:rPr>
          <w:rFonts w:ascii="Arial" w:hAnsi="Arial" w:cs="Arial"/>
          <w:b/>
          <w:i/>
        </w:rPr>
        <w:t>is shown below;</w:t>
      </w:r>
    </w:p>
    <w:p w:rsidR="006D176A" w:rsidRDefault="006D176A" w:rsidP="002F346E">
      <w:pPr>
        <w:pStyle w:val="gmail-msonospacing"/>
        <w:spacing w:before="0" w:beforeAutospacing="0" w:after="0" w:afterAutospacing="0"/>
        <w:rPr>
          <w:rFonts w:ascii="Arial" w:hAnsi="Arial" w:cs="Arial"/>
          <w:b/>
          <w:i/>
        </w:rPr>
      </w:pPr>
    </w:p>
    <w:p w:rsidR="00300E27" w:rsidRPr="00300E27" w:rsidRDefault="006D176A" w:rsidP="00300E27">
      <w:pPr>
        <w:pStyle w:val="xxmsoplaintext"/>
        <w:rPr>
          <w:sz w:val="24"/>
        </w:rPr>
      </w:pPr>
      <w:r w:rsidRPr="00F03277">
        <w:rPr>
          <w:rFonts w:ascii="Arial" w:hAnsi="Arial" w:cs="Arial"/>
          <w:sz w:val="24"/>
        </w:rPr>
        <w:t xml:space="preserve">The Trust can confirm </w:t>
      </w:r>
      <w:r w:rsidR="00300E27">
        <w:rPr>
          <w:rFonts w:ascii="Arial" w:hAnsi="Arial" w:cs="Arial"/>
          <w:sz w:val="24"/>
        </w:rPr>
        <w:t xml:space="preserve">that </w:t>
      </w:r>
      <w:r w:rsidR="00300E27" w:rsidRPr="00300E27">
        <w:rPr>
          <w:rFonts w:ascii="Arial" w:hAnsi="Arial" w:cs="Arial"/>
          <w:sz w:val="24"/>
        </w:rPr>
        <w:t>Dr Jane Barrett has been involved with two reports in relation to the Transforming Cancer Services (TCS) Programme. </w:t>
      </w:r>
      <w:r w:rsidR="00300E27" w:rsidRPr="00300E27">
        <w:rPr>
          <w:rFonts w:ascii="Arial" w:hAnsi="Arial" w:cs="Arial"/>
          <w:sz w:val="24"/>
        </w:rPr>
        <w:br/>
      </w:r>
      <w:r w:rsidR="00300E27" w:rsidRPr="00300E27">
        <w:rPr>
          <w:rFonts w:ascii="Arial" w:hAnsi="Arial" w:cs="Arial"/>
          <w:sz w:val="24"/>
        </w:rPr>
        <w:br/>
        <w:t xml:space="preserve">In January 2017, Dr Jane Barrett was a member of the team appointed by Welsh Government to deliver an independent Gateway 0 Review which is a standard part of the business case process required by the UK Treasury for all large infrastructure projects. Its purpose was to provide assurance to the Senior Responsible Officer (SRO) in terms of the progress of the Transforming Cancer Services in South East Wales programme. That means that the clinical model underpinning the programme </w:t>
      </w:r>
      <w:r w:rsidR="00300E27" w:rsidRPr="00300E27">
        <w:rPr>
          <w:rFonts w:ascii="Arial" w:hAnsi="Arial" w:cs="Arial"/>
          <w:sz w:val="24"/>
        </w:rPr>
        <w:lastRenderedPageBreak/>
        <w:t>was included as part of the review, however the proposed location in the Northern Meadows was not.</w:t>
      </w:r>
      <w:r w:rsidR="00300E27" w:rsidRPr="00300E27">
        <w:rPr>
          <w:rFonts w:ascii="Arial" w:hAnsi="Arial" w:cs="Arial"/>
          <w:sz w:val="24"/>
        </w:rPr>
        <w:br/>
      </w:r>
      <w:r w:rsidR="00300E27" w:rsidRPr="00300E27">
        <w:rPr>
          <w:rFonts w:ascii="Arial" w:hAnsi="Arial" w:cs="Arial"/>
          <w:sz w:val="24"/>
        </w:rPr>
        <w:br/>
        <w:t xml:space="preserve">In June 2017, Dr Jane Barrett was a member of the Evaluation Panel which approved a Site election Evaluation Report recommending that the preferred location of the radiotherapy Satellite Centre should be </w:t>
      </w:r>
      <w:proofErr w:type="spellStart"/>
      <w:r w:rsidR="00300E27" w:rsidRPr="00300E27">
        <w:rPr>
          <w:rFonts w:ascii="Arial" w:hAnsi="Arial" w:cs="Arial"/>
          <w:sz w:val="24"/>
        </w:rPr>
        <w:t>Nevill</w:t>
      </w:r>
      <w:proofErr w:type="spellEnd"/>
      <w:r w:rsidR="00300E27" w:rsidRPr="00300E27">
        <w:rPr>
          <w:rFonts w:ascii="Arial" w:hAnsi="Arial" w:cs="Arial"/>
          <w:sz w:val="24"/>
        </w:rPr>
        <w:t xml:space="preserve"> Hall Hospital in Abergavenny.</w:t>
      </w:r>
    </w:p>
    <w:p w:rsidR="00300E27" w:rsidRPr="00F03277" w:rsidRDefault="00300E27" w:rsidP="006D176A">
      <w:pPr>
        <w:pStyle w:val="xxmsoplaintext"/>
        <w:rPr>
          <w:rFonts w:ascii="Arial" w:hAnsi="Arial" w:cs="Arial"/>
          <w:sz w:val="24"/>
        </w:rPr>
      </w:pPr>
    </w:p>
    <w:p w:rsidR="006D176A" w:rsidRPr="00F03277" w:rsidRDefault="006D176A" w:rsidP="00300E27">
      <w:pPr>
        <w:spacing w:after="0" w:line="240" w:lineRule="auto"/>
        <w:textAlignment w:val="baseline"/>
        <w:rPr>
          <w:rFonts w:ascii="Arial" w:hAnsi="Arial" w:cs="Arial"/>
          <w:sz w:val="24"/>
        </w:rPr>
      </w:pPr>
      <w:r w:rsidRPr="00F03277">
        <w:rPr>
          <w:rFonts w:ascii="Arial" w:hAnsi="Arial" w:cs="Arial"/>
          <w:sz w:val="24"/>
        </w:rPr>
        <w:t>In terms of our obligations to publish the Gateway Review Report - the Trust are applying Section 36 "Prejudice to the effective conduct of public affairs" exemption.</w:t>
      </w:r>
    </w:p>
    <w:p w:rsidR="006D176A" w:rsidRPr="00F03277" w:rsidRDefault="006D176A" w:rsidP="00300E27">
      <w:pPr>
        <w:pStyle w:val="NoSpacing"/>
        <w:rPr>
          <w:rFonts w:ascii="Arial" w:hAnsi="Arial" w:cs="Arial"/>
          <w:sz w:val="24"/>
        </w:rPr>
      </w:pPr>
      <w:r w:rsidRPr="00F03277">
        <w:rPr>
          <w:rFonts w:ascii="Arial" w:hAnsi="Arial" w:cs="Arial"/>
          <w:sz w:val="24"/>
        </w:rPr>
        <w:t>Section 36 of the Freedom of Information Act 2000 (FOIA) provides that,</w:t>
      </w:r>
    </w:p>
    <w:p w:rsidR="006D176A" w:rsidRPr="00F03277" w:rsidRDefault="006D176A" w:rsidP="00300E27">
      <w:pPr>
        <w:pStyle w:val="NoSpacing"/>
        <w:rPr>
          <w:rFonts w:ascii="Arial" w:hAnsi="Arial" w:cs="Arial"/>
          <w:sz w:val="24"/>
        </w:rPr>
      </w:pPr>
    </w:p>
    <w:p w:rsidR="006D176A" w:rsidRPr="00F03277" w:rsidRDefault="006D176A" w:rsidP="00300E27">
      <w:pPr>
        <w:pStyle w:val="NoSpacing"/>
        <w:rPr>
          <w:rFonts w:ascii="Arial" w:hAnsi="Arial" w:cs="Arial"/>
          <w:i/>
          <w:sz w:val="24"/>
        </w:rPr>
      </w:pPr>
      <w:r w:rsidRPr="00F03277">
        <w:rPr>
          <w:rFonts w:ascii="Arial" w:hAnsi="Arial" w:cs="Arial"/>
          <w:i/>
          <w:sz w:val="24"/>
        </w:rPr>
        <w:t>“Information to which this section applies is exempt information if, in the reasonable opinion of a qualified person, disclosure of the information under this Act-</w:t>
      </w:r>
    </w:p>
    <w:p w:rsidR="006D176A" w:rsidRPr="00F03277" w:rsidRDefault="006D176A" w:rsidP="00300E27">
      <w:pPr>
        <w:pStyle w:val="NoSpacing"/>
        <w:rPr>
          <w:rFonts w:ascii="Arial" w:hAnsi="Arial" w:cs="Arial"/>
          <w:i/>
          <w:sz w:val="24"/>
        </w:rPr>
      </w:pPr>
    </w:p>
    <w:p w:rsidR="006D176A" w:rsidRPr="00F03277" w:rsidRDefault="006D176A" w:rsidP="006D176A">
      <w:pPr>
        <w:pStyle w:val="NoSpacing"/>
        <w:rPr>
          <w:rFonts w:ascii="Arial" w:hAnsi="Arial" w:cs="Arial"/>
          <w:i/>
          <w:sz w:val="24"/>
        </w:rPr>
      </w:pPr>
      <w:r w:rsidRPr="00F03277">
        <w:rPr>
          <w:rFonts w:ascii="Arial" w:hAnsi="Arial" w:cs="Arial"/>
          <w:i/>
          <w:sz w:val="24"/>
        </w:rPr>
        <w:t>(2)(</w:t>
      </w:r>
      <w:proofErr w:type="gramStart"/>
      <w:r w:rsidRPr="00F03277">
        <w:rPr>
          <w:rFonts w:ascii="Arial" w:hAnsi="Arial" w:cs="Arial"/>
          <w:i/>
          <w:sz w:val="24"/>
        </w:rPr>
        <w:t>b</w:t>
      </w:r>
      <w:proofErr w:type="gramEnd"/>
      <w:r w:rsidRPr="00F03277">
        <w:rPr>
          <w:rFonts w:ascii="Arial" w:hAnsi="Arial" w:cs="Arial"/>
          <w:i/>
          <w:sz w:val="24"/>
        </w:rPr>
        <w:t>) would, or would be likely to, inhibit-</w:t>
      </w:r>
    </w:p>
    <w:p w:rsidR="006D176A" w:rsidRPr="00F03277" w:rsidRDefault="006D176A" w:rsidP="006D176A">
      <w:pPr>
        <w:pStyle w:val="NoSpacing"/>
        <w:rPr>
          <w:rFonts w:ascii="Arial" w:hAnsi="Arial" w:cs="Arial"/>
          <w:i/>
          <w:sz w:val="24"/>
        </w:rPr>
      </w:pPr>
      <w:proofErr w:type="spellStart"/>
      <w:proofErr w:type="gramStart"/>
      <w:r w:rsidRPr="00F03277">
        <w:rPr>
          <w:rFonts w:ascii="Arial" w:hAnsi="Arial" w:cs="Arial"/>
          <w:i/>
          <w:sz w:val="24"/>
        </w:rPr>
        <w:t>i</w:t>
      </w:r>
      <w:proofErr w:type="spellEnd"/>
      <w:proofErr w:type="gramEnd"/>
      <w:r w:rsidRPr="00F03277">
        <w:rPr>
          <w:rFonts w:ascii="Arial" w:hAnsi="Arial" w:cs="Arial"/>
          <w:i/>
          <w:sz w:val="24"/>
        </w:rPr>
        <w:t>. the free and frank provision of advice, or</w:t>
      </w:r>
    </w:p>
    <w:p w:rsidR="006D176A" w:rsidRPr="00F03277" w:rsidRDefault="006D176A" w:rsidP="006D176A">
      <w:pPr>
        <w:pStyle w:val="NoSpacing"/>
        <w:rPr>
          <w:rFonts w:ascii="Arial" w:hAnsi="Arial" w:cs="Arial"/>
          <w:i/>
          <w:sz w:val="24"/>
        </w:rPr>
      </w:pPr>
      <w:r w:rsidRPr="00F03277">
        <w:rPr>
          <w:rFonts w:ascii="Arial" w:hAnsi="Arial" w:cs="Arial"/>
          <w:i/>
          <w:sz w:val="24"/>
        </w:rPr>
        <w:t xml:space="preserve">ii. </w:t>
      </w:r>
      <w:proofErr w:type="gramStart"/>
      <w:r w:rsidRPr="00F03277">
        <w:rPr>
          <w:rFonts w:ascii="Arial" w:hAnsi="Arial" w:cs="Arial"/>
          <w:i/>
          <w:sz w:val="24"/>
        </w:rPr>
        <w:t>the</w:t>
      </w:r>
      <w:proofErr w:type="gramEnd"/>
      <w:r w:rsidRPr="00F03277">
        <w:rPr>
          <w:rFonts w:ascii="Arial" w:hAnsi="Arial" w:cs="Arial"/>
          <w:i/>
          <w:sz w:val="24"/>
        </w:rPr>
        <w:t xml:space="preserve"> free and frank exchange of views for the purposes of deliberation, or</w:t>
      </w:r>
    </w:p>
    <w:p w:rsidR="006D176A" w:rsidRPr="00F03277" w:rsidRDefault="006D176A" w:rsidP="006D176A">
      <w:pPr>
        <w:pStyle w:val="NoSpacing"/>
        <w:rPr>
          <w:rFonts w:ascii="Arial" w:hAnsi="Arial" w:cs="Arial"/>
          <w:i/>
          <w:sz w:val="24"/>
        </w:rPr>
      </w:pPr>
    </w:p>
    <w:p w:rsidR="006D176A" w:rsidRPr="00F03277" w:rsidRDefault="006D176A" w:rsidP="006D176A">
      <w:pPr>
        <w:pStyle w:val="NoSpacing"/>
        <w:rPr>
          <w:rFonts w:ascii="Arial" w:hAnsi="Arial" w:cs="Arial"/>
          <w:i/>
          <w:sz w:val="24"/>
        </w:rPr>
      </w:pPr>
      <w:r w:rsidRPr="00F03277">
        <w:rPr>
          <w:rFonts w:ascii="Arial" w:hAnsi="Arial" w:cs="Arial"/>
          <w:i/>
          <w:sz w:val="24"/>
        </w:rPr>
        <w:t xml:space="preserve">(2)(c) </w:t>
      </w:r>
      <w:proofErr w:type="gramStart"/>
      <w:r w:rsidRPr="00F03277">
        <w:rPr>
          <w:rFonts w:ascii="Arial" w:hAnsi="Arial" w:cs="Arial"/>
          <w:i/>
          <w:sz w:val="24"/>
        </w:rPr>
        <w:t>would</w:t>
      </w:r>
      <w:proofErr w:type="gramEnd"/>
      <w:r w:rsidRPr="00F03277">
        <w:rPr>
          <w:rFonts w:ascii="Arial" w:hAnsi="Arial" w:cs="Arial"/>
          <w:i/>
          <w:sz w:val="24"/>
        </w:rPr>
        <w:t xml:space="preserve"> otherwise prejudice, or would be likely otherwise to prejudice, the effective conduct of public affairs.</w:t>
      </w:r>
    </w:p>
    <w:p w:rsidR="006D176A" w:rsidRPr="00F03277" w:rsidRDefault="006D176A" w:rsidP="006D176A">
      <w:pPr>
        <w:pStyle w:val="NoSpacing"/>
        <w:rPr>
          <w:rFonts w:ascii="Arial" w:hAnsi="Arial" w:cs="Arial"/>
          <w:sz w:val="24"/>
        </w:rPr>
      </w:pPr>
    </w:p>
    <w:p w:rsidR="006D176A" w:rsidRPr="00F03277" w:rsidRDefault="006D176A" w:rsidP="006D176A">
      <w:pPr>
        <w:pStyle w:val="NoSpacing"/>
        <w:rPr>
          <w:rFonts w:ascii="Arial" w:hAnsi="Arial" w:cs="Arial"/>
          <w:sz w:val="24"/>
          <w:szCs w:val="24"/>
        </w:rPr>
      </w:pPr>
      <w:r w:rsidRPr="00F03277">
        <w:rPr>
          <w:rFonts w:ascii="Arial" w:hAnsi="Arial" w:cs="Arial"/>
          <w:sz w:val="24"/>
        </w:rPr>
        <w:t xml:space="preserve">As with any request for information, the Trust </w:t>
      </w:r>
      <w:proofErr w:type="spellStart"/>
      <w:r w:rsidRPr="00F03277">
        <w:rPr>
          <w:rFonts w:ascii="Arial" w:hAnsi="Arial" w:cs="Arial"/>
          <w:sz w:val="24"/>
        </w:rPr>
        <w:t>recognises</w:t>
      </w:r>
      <w:proofErr w:type="spellEnd"/>
      <w:r w:rsidRPr="00F03277">
        <w:rPr>
          <w:rFonts w:ascii="Arial" w:hAnsi="Arial" w:cs="Arial"/>
          <w:sz w:val="24"/>
        </w:rPr>
        <w:t xml:space="preserve"> </w:t>
      </w:r>
      <w:r w:rsidRPr="00F03277">
        <w:rPr>
          <w:rFonts w:ascii="Arial" w:hAnsi="Arial" w:cs="Arial"/>
          <w:sz w:val="24"/>
          <w:szCs w:val="24"/>
        </w:rPr>
        <w:t xml:space="preserve">there is a general presumption in disclosure to promote openness and transparency since this allows for greater scrutiny and accountability of public authority’s activities. </w:t>
      </w:r>
    </w:p>
    <w:p w:rsidR="006D176A" w:rsidRPr="00F03277" w:rsidRDefault="006D176A" w:rsidP="006D176A">
      <w:pPr>
        <w:pStyle w:val="NoSpacing"/>
        <w:rPr>
          <w:rFonts w:ascii="Arial" w:hAnsi="Arial" w:cs="Arial"/>
          <w:sz w:val="24"/>
          <w:szCs w:val="24"/>
        </w:rPr>
      </w:pPr>
    </w:p>
    <w:p w:rsidR="006D176A" w:rsidRPr="00F03277" w:rsidRDefault="006D176A" w:rsidP="006D176A">
      <w:pPr>
        <w:pStyle w:val="NoSpacing"/>
        <w:rPr>
          <w:rFonts w:ascii="Arial" w:hAnsi="Arial" w:cs="Arial"/>
          <w:sz w:val="24"/>
          <w:szCs w:val="24"/>
        </w:rPr>
      </w:pPr>
      <w:r w:rsidRPr="00F03277">
        <w:rPr>
          <w:rFonts w:ascii="Arial" w:hAnsi="Arial" w:cs="Arial"/>
          <w:sz w:val="24"/>
          <w:szCs w:val="24"/>
        </w:rPr>
        <w:t xml:space="preserve">However on this occasion, the Trust view possible disclosure, and any widespread and uncontrolled access to information that would not be published as a matter of course, is likely to inhibit the ability of the Trust officials and partners in expressing views and deliberating issues which would in turn impair the quality of decision making. </w:t>
      </w:r>
    </w:p>
    <w:p w:rsidR="006D176A" w:rsidRPr="00F03277" w:rsidRDefault="006D176A" w:rsidP="006D176A">
      <w:pPr>
        <w:pStyle w:val="NoSpacing"/>
        <w:rPr>
          <w:rFonts w:ascii="Arial" w:hAnsi="Arial" w:cs="Arial"/>
          <w:sz w:val="24"/>
          <w:szCs w:val="24"/>
        </w:rPr>
      </w:pPr>
    </w:p>
    <w:p w:rsidR="006D176A" w:rsidRPr="00F03277" w:rsidRDefault="006D176A" w:rsidP="006D176A">
      <w:pPr>
        <w:pStyle w:val="NoSpacing"/>
        <w:rPr>
          <w:rFonts w:ascii="Arial" w:hAnsi="Arial" w:cs="Arial"/>
          <w:sz w:val="24"/>
          <w:szCs w:val="24"/>
        </w:rPr>
      </w:pPr>
      <w:r w:rsidRPr="00F03277">
        <w:rPr>
          <w:rFonts w:ascii="Arial" w:hAnsi="Arial" w:cs="Arial"/>
          <w:sz w:val="24"/>
          <w:szCs w:val="24"/>
        </w:rPr>
        <w:t xml:space="preserve">It is a matter of good public administration that, there is a safe space for Trust officials to have free and frank exchanges with partners in order for the Trust to assure itself, and therefore the wider general public, that the combined work of the Trust and its partners is effective. </w:t>
      </w:r>
    </w:p>
    <w:p w:rsidR="006D176A" w:rsidRPr="00F03277" w:rsidRDefault="006D176A" w:rsidP="006D176A">
      <w:pPr>
        <w:pStyle w:val="NoSpacing"/>
        <w:rPr>
          <w:rFonts w:ascii="Arial" w:hAnsi="Arial" w:cs="Arial"/>
          <w:sz w:val="24"/>
          <w:szCs w:val="24"/>
        </w:rPr>
      </w:pPr>
    </w:p>
    <w:p w:rsidR="006D176A" w:rsidRPr="00F03277" w:rsidRDefault="006D176A" w:rsidP="006D176A">
      <w:pPr>
        <w:pStyle w:val="NoSpacing"/>
        <w:rPr>
          <w:rFonts w:ascii="Arial" w:hAnsi="Arial" w:cs="Arial"/>
          <w:sz w:val="24"/>
        </w:rPr>
      </w:pPr>
      <w:r w:rsidRPr="00F03277">
        <w:rPr>
          <w:rFonts w:ascii="Arial" w:hAnsi="Arial" w:cs="Arial"/>
          <w:sz w:val="24"/>
        </w:rPr>
        <w:lastRenderedPageBreak/>
        <w:t xml:space="preserve">In accordance with the FOIA, the section 36 exemption can only be considered if, in the reasonable opinion of the public authority’s qualified person agrees that the exemption is engaged. For the Trust, the 'qualified person' is the Chief Executive. I can confirm that the Chief Executive has considered the request and, in his opinion, there is real likelihood that the release of the report would prejudice the effective conduct of public affairs, and therefore section 36(2) is engaged. </w:t>
      </w:r>
    </w:p>
    <w:p w:rsidR="006D176A" w:rsidRPr="00F03277" w:rsidRDefault="006D176A" w:rsidP="006D176A">
      <w:pPr>
        <w:pStyle w:val="NoSpacing"/>
        <w:rPr>
          <w:rFonts w:ascii="Arial" w:hAnsi="Arial" w:cs="Arial"/>
          <w:sz w:val="24"/>
        </w:rPr>
      </w:pPr>
    </w:p>
    <w:p w:rsidR="006D176A" w:rsidRPr="00F03277" w:rsidRDefault="006D176A" w:rsidP="006D176A">
      <w:pPr>
        <w:pStyle w:val="NoSpacing"/>
        <w:rPr>
          <w:rFonts w:ascii="Arial" w:hAnsi="Arial" w:cs="Arial"/>
          <w:sz w:val="24"/>
        </w:rPr>
      </w:pPr>
      <w:r w:rsidRPr="00F03277">
        <w:rPr>
          <w:rFonts w:ascii="Arial" w:hAnsi="Arial" w:cs="Arial"/>
          <w:sz w:val="24"/>
        </w:rPr>
        <w:t>Section 36 is subject to the Public Interest Test, about which we explain further below.</w:t>
      </w:r>
    </w:p>
    <w:p w:rsidR="006D176A" w:rsidRPr="00F03277" w:rsidRDefault="006D176A" w:rsidP="006D176A">
      <w:pPr>
        <w:pStyle w:val="NoSpacing"/>
        <w:rPr>
          <w:rFonts w:ascii="Arial" w:hAnsi="Arial" w:cs="Arial"/>
          <w:sz w:val="24"/>
        </w:rPr>
      </w:pPr>
    </w:p>
    <w:p w:rsidR="006D176A" w:rsidRPr="00F03277" w:rsidRDefault="006D176A" w:rsidP="006D176A">
      <w:pPr>
        <w:pStyle w:val="NoSpacing"/>
        <w:rPr>
          <w:rFonts w:ascii="Arial" w:hAnsi="Arial" w:cs="Arial"/>
          <w:b/>
          <w:sz w:val="24"/>
        </w:rPr>
      </w:pPr>
      <w:r w:rsidRPr="00F03277">
        <w:rPr>
          <w:rFonts w:ascii="Arial" w:hAnsi="Arial" w:cs="Arial"/>
          <w:b/>
          <w:sz w:val="24"/>
        </w:rPr>
        <w:t>Public Interest Test</w:t>
      </w:r>
    </w:p>
    <w:p w:rsidR="006D176A" w:rsidRPr="00F03277" w:rsidRDefault="006D176A" w:rsidP="006D176A">
      <w:pPr>
        <w:pStyle w:val="NoSpacing"/>
        <w:rPr>
          <w:rFonts w:ascii="Arial" w:hAnsi="Arial" w:cs="Arial"/>
          <w:sz w:val="24"/>
        </w:rPr>
      </w:pPr>
    </w:p>
    <w:p w:rsidR="006D176A" w:rsidRPr="00F03277" w:rsidRDefault="006D176A" w:rsidP="006D176A">
      <w:pPr>
        <w:pStyle w:val="NoSpacing"/>
        <w:rPr>
          <w:rFonts w:ascii="Arial" w:hAnsi="Arial" w:cs="Arial"/>
          <w:sz w:val="24"/>
        </w:rPr>
      </w:pPr>
      <w:r w:rsidRPr="00F03277">
        <w:rPr>
          <w:rFonts w:ascii="Arial" w:hAnsi="Arial" w:cs="Arial"/>
          <w:sz w:val="24"/>
        </w:rPr>
        <w:t xml:space="preserve">In considering the public interest test, the Trust has identified the following points: </w:t>
      </w:r>
    </w:p>
    <w:p w:rsidR="006D176A" w:rsidRPr="00F03277" w:rsidRDefault="006D176A" w:rsidP="006D176A">
      <w:pPr>
        <w:pStyle w:val="NoSpacing"/>
        <w:rPr>
          <w:rFonts w:ascii="Arial" w:hAnsi="Arial" w:cs="Arial"/>
          <w:sz w:val="24"/>
        </w:rPr>
      </w:pPr>
    </w:p>
    <w:p w:rsidR="006D176A" w:rsidRPr="00F03277" w:rsidRDefault="006D176A" w:rsidP="006D176A">
      <w:pPr>
        <w:pStyle w:val="NoSpacing"/>
        <w:rPr>
          <w:rFonts w:ascii="Arial" w:hAnsi="Arial" w:cs="Arial"/>
          <w:b/>
          <w:sz w:val="24"/>
        </w:rPr>
      </w:pPr>
      <w:r w:rsidRPr="00F03277">
        <w:rPr>
          <w:rFonts w:ascii="Arial" w:hAnsi="Arial" w:cs="Arial"/>
          <w:b/>
          <w:sz w:val="24"/>
        </w:rPr>
        <w:t>Arguments for disclosing the information:</w:t>
      </w:r>
    </w:p>
    <w:p w:rsidR="006D176A" w:rsidRPr="00F03277" w:rsidRDefault="006D176A" w:rsidP="006D176A">
      <w:pPr>
        <w:pStyle w:val="NoSpacing"/>
        <w:rPr>
          <w:rFonts w:ascii="Arial" w:hAnsi="Arial" w:cs="Arial"/>
          <w:sz w:val="24"/>
        </w:rPr>
      </w:pPr>
    </w:p>
    <w:p w:rsidR="006D176A" w:rsidRPr="00F03277" w:rsidRDefault="006D176A" w:rsidP="006D176A">
      <w:pPr>
        <w:pStyle w:val="NoSpacing"/>
        <w:numPr>
          <w:ilvl w:val="0"/>
          <w:numId w:val="11"/>
        </w:numPr>
        <w:rPr>
          <w:rFonts w:ascii="Arial" w:hAnsi="Arial" w:cs="Arial"/>
          <w:sz w:val="24"/>
        </w:rPr>
      </w:pPr>
      <w:r w:rsidRPr="00F03277">
        <w:rPr>
          <w:rFonts w:ascii="Arial" w:hAnsi="Arial" w:cs="Arial"/>
          <w:sz w:val="24"/>
        </w:rPr>
        <w:t>Disclosure of information held by public authorities on request is in itself of value and in the public interest so as to promote transparency and accountability in relation to the activities of public authorities.</w:t>
      </w:r>
    </w:p>
    <w:p w:rsidR="006D176A" w:rsidRPr="00F03277" w:rsidRDefault="006D176A" w:rsidP="006D176A">
      <w:pPr>
        <w:pStyle w:val="NoSpacing"/>
        <w:numPr>
          <w:ilvl w:val="0"/>
          <w:numId w:val="11"/>
        </w:numPr>
        <w:rPr>
          <w:rFonts w:ascii="Arial" w:hAnsi="Arial" w:cs="Arial"/>
          <w:sz w:val="24"/>
        </w:rPr>
      </w:pPr>
      <w:r w:rsidRPr="00F03277">
        <w:rPr>
          <w:rFonts w:ascii="Arial" w:hAnsi="Arial" w:cs="Arial"/>
          <w:sz w:val="24"/>
        </w:rPr>
        <w:t>The quality of advice and the content of deliberations by officials may improve if there was an expectation of the information being made publically available.</w:t>
      </w:r>
    </w:p>
    <w:p w:rsidR="006D176A" w:rsidRPr="00F03277" w:rsidRDefault="006D176A" w:rsidP="006D176A">
      <w:pPr>
        <w:pStyle w:val="NoSpacing"/>
        <w:numPr>
          <w:ilvl w:val="0"/>
          <w:numId w:val="11"/>
        </w:numPr>
        <w:rPr>
          <w:rFonts w:ascii="Arial" w:hAnsi="Arial" w:cs="Arial"/>
          <w:sz w:val="24"/>
        </w:rPr>
      </w:pPr>
      <w:r w:rsidRPr="00F03277">
        <w:rPr>
          <w:rFonts w:ascii="Arial" w:hAnsi="Arial" w:cs="Arial"/>
          <w:sz w:val="24"/>
        </w:rPr>
        <w:t>There is a clear public interest in demonstrating that the work of the parties is effective in the deliberation of any future proposed tertiary services, and how these are going to be delivered across South East Wales</w:t>
      </w:r>
    </w:p>
    <w:p w:rsidR="006D176A" w:rsidRPr="00F03277" w:rsidRDefault="006D176A" w:rsidP="006D176A">
      <w:pPr>
        <w:pStyle w:val="NoSpacing"/>
        <w:rPr>
          <w:rFonts w:ascii="Arial" w:hAnsi="Arial" w:cs="Arial"/>
          <w:sz w:val="24"/>
        </w:rPr>
      </w:pPr>
    </w:p>
    <w:p w:rsidR="006D176A" w:rsidRPr="00F03277" w:rsidRDefault="006D176A" w:rsidP="006D176A">
      <w:pPr>
        <w:pStyle w:val="NoSpacing"/>
        <w:rPr>
          <w:rFonts w:ascii="Arial" w:hAnsi="Arial" w:cs="Arial"/>
          <w:b/>
          <w:sz w:val="24"/>
        </w:rPr>
      </w:pPr>
      <w:r w:rsidRPr="00F03277">
        <w:rPr>
          <w:rFonts w:ascii="Arial" w:hAnsi="Arial" w:cs="Arial"/>
          <w:b/>
          <w:sz w:val="24"/>
        </w:rPr>
        <w:t>Arguments for withholding the information:</w:t>
      </w:r>
    </w:p>
    <w:p w:rsidR="006D176A" w:rsidRPr="00F03277" w:rsidRDefault="006D176A" w:rsidP="006D176A">
      <w:pPr>
        <w:pStyle w:val="NoSpacing"/>
      </w:pPr>
    </w:p>
    <w:p w:rsidR="006D176A" w:rsidRPr="00F03277" w:rsidRDefault="006D176A" w:rsidP="006D176A">
      <w:pPr>
        <w:pStyle w:val="NoSpacing"/>
        <w:numPr>
          <w:ilvl w:val="0"/>
          <w:numId w:val="12"/>
        </w:numPr>
        <w:rPr>
          <w:rFonts w:ascii="Arial" w:hAnsi="Arial" w:cs="Arial"/>
          <w:sz w:val="24"/>
        </w:rPr>
      </w:pPr>
      <w:r w:rsidRPr="00F03277">
        <w:rPr>
          <w:rFonts w:ascii="Arial" w:hAnsi="Arial" w:cs="Arial"/>
          <w:sz w:val="24"/>
        </w:rPr>
        <w:t>There is a public interest in the Trust and its partners being able to have free and frank deliberations to ensure effective arrangements are in place.</w:t>
      </w:r>
    </w:p>
    <w:p w:rsidR="006D176A" w:rsidRPr="00F03277" w:rsidRDefault="006D176A" w:rsidP="006D176A">
      <w:pPr>
        <w:pStyle w:val="NoSpacing"/>
        <w:numPr>
          <w:ilvl w:val="0"/>
          <w:numId w:val="12"/>
        </w:numPr>
        <w:rPr>
          <w:rFonts w:ascii="Arial" w:hAnsi="Arial" w:cs="Arial"/>
          <w:sz w:val="24"/>
        </w:rPr>
      </w:pPr>
      <w:r w:rsidRPr="00F03277">
        <w:rPr>
          <w:rFonts w:ascii="Arial" w:hAnsi="Arial" w:cs="Arial"/>
          <w:sz w:val="24"/>
        </w:rPr>
        <w:t>Disclosure would impact on the ability of the Trust and its partners to debate live issues and reach decisions free from external scrutiny.</w:t>
      </w:r>
    </w:p>
    <w:p w:rsidR="006D176A" w:rsidRPr="00F03277" w:rsidRDefault="006D176A" w:rsidP="006D176A">
      <w:pPr>
        <w:pStyle w:val="ListParagraph"/>
        <w:numPr>
          <w:ilvl w:val="0"/>
          <w:numId w:val="12"/>
        </w:numPr>
        <w:spacing w:line="360" w:lineRule="atLeast"/>
        <w:textAlignment w:val="baseline"/>
        <w:rPr>
          <w:rFonts w:ascii="Arial" w:hAnsi="Arial" w:cs="Arial"/>
          <w:sz w:val="24"/>
        </w:rPr>
      </w:pPr>
      <w:r w:rsidRPr="00F03277">
        <w:rPr>
          <w:rFonts w:ascii="Arial" w:hAnsi="Arial" w:cs="Arial"/>
          <w:sz w:val="24"/>
        </w:rPr>
        <w:t>The Trust publish extensive information regarding their work in this area already.</w:t>
      </w:r>
    </w:p>
    <w:p w:rsidR="006D176A" w:rsidRPr="00F03277" w:rsidRDefault="006D176A" w:rsidP="006D176A">
      <w:pPr>
        <w:spacing w:after="0"/>
        <w:contextualSpacing/>
        <w:jc w:val="both"/>
        <w:rPr>
          <w:rFonts w:ascii="Arial" w:hAnsi="Arial" w:cs="Arial"/>
          <w:sz w:val="24"/>
          <w:szCs w:val="24"/>
        </w:rPr>
      </w:pPr>
      <w:r w:rsidRPr="00F03277">
        <w:rPr>
          <w:rFonts w:ascii="Arial" w:hAnsi="Arial" w:cs="Arial"/>
          <w:sz w:val="24"/>
          <w:szCs w:val="24"/>
        </w:rPr>
        <w:lastRenderedPageBreak/>
        <w:t xml:space="preserve">Considering the arguments outlined above, the Trust has concluded that the public interest </w:t>
      </w:r>
      <w:proofErr w:type="spellStart"/>
      <w:r w:rsidRPr="00F03277">
        <w:rPr>
          <w:rFonts w:ascii="Arial" w:hAnsi="Arial" w:cs="Arial"/>
          <w:sz w:val="24"/>
          <w:szCs w:val="24"/>
        </w:rPr>
        <w:t>favours</w:t>
      </w:r>
      <w:proofErr w:type="spellEnd"/>
      <w:r w:rsidRPr="00F03277">
        <w:rPr>
          <w:rFonts w:ascii="Arial" w:hAnsi="Arial" w:cs="Arial"/>
          <w:sz w:val="24"/>
          <w:szCs w:val="24"/>
        </w:rPr>
        <w:t xml:space="preserve"> maintaining the exemption in this case, and that the information remains to be withheld.</w:t>
      </w:r>
    </w:p>
    <w:p w:rsidR="002F346E" w:rsidRDefault="002F346E" w:rsidP="00E24B12">
      <w:pPr>
        <w:spacing w:after="0"/>
        <w:contextualSpacing/>
        <w:rPr>
          <w:rFonts w:ascii="Arial" w:hAnsi="Arial" w:cs="Arial"/>
          <w:sz w:val="24"/>
          <w:szCs w:val="24"/>
        </w:rPr>
      </w:pPr>
    </w:p>
    <w:p w:rsidR="00E24B12" w:rsidRPr="00FD7500" w:rsidRDefault="00E24B12" w:rsidP="00E24B12">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E24B12" w:rsidRPr="00FD7500" w:rsidRDefault="00E24B12" w:rsidP="00E24B12">
      <w:pPr>
        <w:spacing w:after="0"/>
        <w:rPr>
          <w:rFonts w:ascii="Arial" w:hAnsi="Arial" w:cs="Arial"/>
          <w:color w:val="31849B"/>
          <w:sz w:val="24"/>
          <w:szCs w:val="24"/>
        </w:rPr>
      </w:pP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Mr Stuart Morris</w:t>
      </w:r>
    </w:p>
    <w:p w:rsidR="00E24B12" w:rsidRPr="00FD7500" w:rsidRDefault="00E24B12" w:rsidP="00E24B12">
      <w:pPr>
        <w:spacing w:after="0" w:line="240" w:lineRule="auto"/>
        <w:rPr>
          <w:rFonts w:ascii="Arial" w:hAnsi="Arial" w:cs="Arial"/>
          <w:sz w:val="24"/>
          <w:szCs w:val="24"/>
        </w:rPr>
      </w:pPr>
      <w:r>
        <w:rPr>
          <w:rFonts w:ascii="Arial" w:hAnsi="Arial" w:cs="Arial"/>
          <w:sz w:val="24"/>
          <w:szCs w:val="24"/>
        </w:rPr>
        <w:t>Chief Digital Officer</w:t>
      </w: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Velindre NHS Trust</w:t>
      </w: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2, Charnwood Court</w:t>
      </w:r>
    </w:p>
    <w:p w:rsidR="00E24B12" w:rsidRPr="00FD7500" w:rsidRDefault="00E24B12" w:rsidP="00E24B12">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E24B12" w:rsidRPr="00FD7500" w:rsidRDefault="00E24B12" w:rsidP="00E24B12">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CF15 7QZ</w:t>
      </w:r>
    </w:p>
    <w:p w:rsidR="00E24B12" w:rsidRPr="00FD7500" w:rsidRDefault="00E24B12" w:rsidP="00E24B12">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 </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 </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 xml:space="preserve">Information Commissioner's Office - Wales </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Churchill House,</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Churchill Way,</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Cardiff,</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CF10 2HH</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Telephone: 029 2067 8400</w:t>
      </w:r>
    </w:p>
    <w:p w:rsidR="00E24B12" w:rsidRPr="00FD7500" w:rsidRDefault="00E24B12" w:rsidP="00E24B12">
      <w:pPr>
        <w:spacing w:after="0"/>
        <w:rPr>
          <w:rFonts w:ascii="Arial" w:hAnsi="Arial" w:cs="Arial"/>
          <w:sz w:val="24"/>
          <w:szCs w:val="24"/>
        </w:rPr>
      </w:pPr>
      <w:proofErr w:type="gramStart"/>
      <w:r w:rsidRPr="00FD7500">
        <w:rPr>
          <w:rFonts w:ascii="Arial" w:hAnsi="Arial" w:cs="Arial"/>
          <w:sz w:val="24"/>
          <w:szCs w:val="24"/>
        </w:rPr>
        <w:t>fax</w:t>
      </w:r>
      <w:proofErr w:type="gramEnd"/>
      <w:r w:rsidRPr="00FD7500">
        <w:rPr>
          <w:rFonts w:ascii="Arial" w:hAnsi="Arial" w:cs="Arial"/>
          <w:sz w:val="24"/>
          <w:szCs w:val="24"/>
        </w:rPr>
        <w:t>: 029 2067 8399</w:t>
      </w:r>
    </w:p>
    <w:p w:rsidR="00E24B12" w:rsidRPr="00FD7500" w:rsidRDefault="00E24B12" w:rsidP="00E24B12">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8" w:tgtFrame="_blank" w:history="1">
        <w:r w:rsidRPr="00FD7500">
          <w:rPr>
            <w:rFonts w:ascii="Arial" w:hAnsi="Arial" w:cs="Arial"/>
            <w:color w:val="0000FF"/>
            <w:sz w:val="24"/>
            <w:szCs w:val="24"/>
            <w:u w:val="single"/>
          </w:rPr>
          <w:t>wales@ico.gsi.gov.uk</w:t>
        </w:r>
      </w:hyperlink>
    </w:p>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sidRPr="00FD7500">
        <w:rPr>
          <w:rFonts w:ascii="Arial" w:hAnsi="Arial" w:cs="Arial"/>
          <w:sz w:val="24"/>
          <w:szCs w:val="24"/>
        </w:rPr>
        <w:t>Yours sincerely</w:t>
      </w:r>
    </w:p>
    <w:p w:rsidR="00E24B12" w:rsidRPr="00FD7500" w:rsidRDefault="00E24B12" w:rsidP="00E24B12">
      <w:pPr>
        <w:spacing w:after="0"/>
        <w:rPr>
          <w:rFonts w:ascii="Arial" w:hAnsi="Arial" w:cs="Arial"/>
          <w:sz w:val="24"/>
          <w:szCs w:val="24"/>
        </w:rPr>
      </w:pPr>
    </w:p>
    <w:p w:rsidR="00E24B12" w:rsidRPr="00FD7500" w:rsidRDefault="00E24B12" w:rsidP="00E24B12">
      <w:pPr>
        <w:spacing w:after="0"/>
        <w:rPr>
          <w:rFonts w:ascii="Arial" w:hAnsi="Arial" w:cs="Arial"/>
          <w:sz w:val="24"/>
          <w:szCs w:val="24"/>
        </w:rPr>
      </w:pPr>
      <w:r w:rsidRPr="00FD7500">
        <w:rPr>
          <w:rFonts w:ascii="Arial" w:hAnsi="Arial" w:cs="Arial"/>
          <w:sz w:val="24"/>
          <w:szCs w:val="24"/>
        </w:rPr>
        <w:lastRenderedPageBreak/>
        <w:t>Julie Mann</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Communication and Compliance officer</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Velindre NHS Trust</w:t>
      </w:r>
    </w:p>
    <w:p w:rsidR="00E24B12" w:rsidRPr="00FD7500" w:rsidRDefault="00E24B12" w:rsidP="00E24B12">
      <w:pPr>
        <w:spacing w:after="0"/>
        <w:rPr>
          <w:rFonts w:ascii="Arial" w:hAnsi="Arial" w:cs="Arial"/>
          <w:sz w:val="24"/>
          <w:szCs w:val="24"/>
        </w:rPr>
      </w:pPr>
      <w:r w:rsidRPr="00FD7500">
        <w:rPr>
          <w:rFonts w:ascii="Arial" w:hAnsi="Arial" w:cs="Arial"/>
          <w:sz w:val="24"/>
          <w:szCs w:val="24"/>
        </w:rPr>
        <w:t>2 Charnwood Court</w:t>
      </w:r>
    </w:p>
    <w:p w:rsidR="00E24B12" w:rsidRPr="00FD7500" w:rsidRDefault="00E24B12" w:rsidP="00E24B12">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E24B12" w:rsidRPr="00FD7500" w:rsidRDefault="00E24B12" w:rsidP="00E24B12">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E24B12" w:rsidRPr="00FD7500" w:rsidRDefault="00E24B12" w:rsidP="00E24B12">
      <w:pPr>
        <w:spacing w:after="0"/>
        <w:rPr>
          <w:rFonts w:ascii="Arial" w:hAnsi="Arial" w:cs="Arial"/>
          <w:sz w:val="24"/>
          <w:szCs w:val="24"/>
        </w:rPr>
      </w:pPr>
      <w:r w:rsidRPr="00FD7500">
        <w:rPr>
          <w:rFonts w:ascii="Arial" w:hAnsi="Arial" w:cs="Arial"/>
          <w:sz w:val="24"/>
          <w:szCs w:val="24"/>
        </w:rPr>
        <w:t>Cardiff</w:t>
      </w:r>
    </w:p>
    <w:p w:rsidR="00E24B12" w:rsidRDefault="00E24B12" w:rsidP="00E24B12">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B03E77" w:rsidRPr="00E24B12" w:rsidRDefault="00B03E77" w:rsidP="00E24B12"/>
    <w:sectPr w:rsidR="00B03E77" w:rsidRPr="00E24B12" w:rsidSect="00040C67">
      <w:headerReference w:type="default" r:id="rId9"/>
      <w:footerReference w:type="default" r:id="rId10"/>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3E1903"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6D176A"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B62C38"/>
    <w:multiLevelType w:val="hybridMultilevel"/>
    <w:tmpl w:val="249A79D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49DE1190"/>
    <w:multiLevelType w:val="hybridMultilevel"/>
    <w:tmpl w:val="14B8326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AC402D7"/>
    <w:multiLevelType w:val="hybridMultilevel"/>
    <w:tmpl w:val="AEC418A6"/>
    <w:lvl w:ilvl="0" w:tplc="08090003">
      <w:start w:val="1"/>
      <w:numFmt w:val="bullet"/>
      <w:lvlText w:val="o"/>
      <w:lvlJc w:val="left"/>
      <w:pPr>
        <w:ind w:left="1800" w:hanging="360"/>
      </w:pPr>
      <w:rPr>
        <w:rFonts w:ascii="Courier New" w:hAnsi="Courier New" w:cs="Courier New" w:hint="default"/>
      </w:rPr>
    </w:lvl>
    <w:lvl w:ilvl="1" w:tplc="08090003">
      <w:start w:val="1"/>
      <w:numFmt w:val="bullet"/>
      <w:lvlText w:val="o"/>
      <w:lvlJc w:val="left"/>
      <w:pPr>
        <w:ind w:left="2520" w:hanging="360"/>
      </w:pPr>
      <w:rPr>
        <w:rFonts w:ascii="Courier New" w:hAnsi="Courier New" w:cs="Courier New" w:hint="default"/>
      </w:rPr>
    </w:lvl>
    <w:lvl w:ilvl="2" w:tplc="08090005">
      <w:start w:val="1"/>
      <w:numFmt w:val="bullet"/>
      <w:lvlText w:val=""/>
      <w:lvlJc w:val="left"/>
      <w:pPr>
        <w:ind w:left="3240" w:hanging="360"/>
      </w:pPr>
      <w:rPr>
        <w:rFonts w:ascii="Wingdings" w:hAnsi="Wingdings" w:hint="default"/>
      </w:rPr>
    </w:lvl>
    <w:lvl w:ilvl="3" w:tplc="08090001">
      <w:start w:val="1"/>
      <w:numFmt w:val="bullet"/>
      <w:lvlText w:val=""/>
      <w:lvlJc w:val="left"/>
      <w:pPr>
        <w:ind w:left="3960" w:hanging="360"/>
      </w:pPr>
      <w:rPr>
        <w:rFonts w:ascii="Symbol" w:hAnsi="Symbol" w:hint="default"/>
      </w:rPr>
    </w:lvl>
    <w:lvl w:ilvl="4" w:tplc="08090003">
      <w:start w:val="1"/>
      <w:numFmt w:val="bullet"/>
      <w:lvlText w:val="o"/>
      <w:lvlJc w:val="left"/>
      <w:pPr>
        <w:ind w:left="4680" w:hanging="360"/>
      </w:pPr>
      <w:rPr>
        <w:rFonts w:ascii="Courier New" w:hAnsi="Courier New" w:cs="Courier New" w:hint="default"/>
      </w:rPr>
    </w:lvl>
    <w:lvl w:ilvl="5" w:tplc="08090005">
      <w:start w:val="1"/>
      <w:numFmt w:val="bullet"/>
      <w:lvlText w:val=""/>
      <w:lvlJc w:val="left"/>
      <w:pPr>
        <w:ind w:left="5400" w:hanging="360"/>
      </w:pPr>
      <w:rPr>
        <w:rFonts w:ascii="Wingdings" w:hAnsi="Wingdings" w:hint="default"/>
      </w:rPr>
    </w:lvl>
    <w:lvl w:ilvl="6" w:tplc="08090001">
      <w:start w:val="1"/>
      <w:numFmt w:val="bullet"/>
      <w:lvlText w:val=""/>
      <w:lvlJc w:val="left"/>
      <w:pPr>
        <w:ind w:left="6120" w:hanging="360"/>
      </w:pPr>
      <w:rPr>
        <w:rFonts w:ascii="Symbol" w:hAnsi="Symbol" w:hint="default"/>
      </w:rPr>
    </w:lvl>
    <w:lvl w:ilvl="7" w:tplc="08090003">
      <w:start w:val="1"/>
      <w:numFmt w:val="bullet"/>
      <w:lvlText w:val="o"/>
      <w:lvlJc w:val="left"/>
      <w:pPr>
        <w:ind w:left="6840" w:hanging="360"/>
      </w:pPr>
      <w:rPr>
        <w:rFonts w:ascii="Courier New" w:hAnsi="Courier New" w:cs="Courier New" w:hint="default"/>
      </w:rPr>
    </w:lvl>
    <w:lvl w:ilvl="8" w:tplc="08090005">
      <w:start w:val="1"/>
      <w:numFmt w:val="bullet"/>
      <w:lvlText w:val=""/>
      <w:lvlJc w:val="left"/>
      <w:pPr>
        <w:ind w:left="7560" w:hanging="360"/>
      </w:pPr>
      <w:rPr>
        <w:rFonts w:ascii="Wingdings" w:hAnsi="Wingdings" w:hint="default"/>
      </w:rPr>
    </w:lvl>
  </w:abstractNum>
  <w:abstractNum w:abstractNumId="6"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573A0442"/>
    <w:multiLevelType w:val="hybridMultilevel"/>
    <w:tmpl w:val="FE36EAA2"/>
    <w:lvl w:ilvl="0" w:tplc="00B44266">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 w15:restartNumberingAfterBreak="0">
    <w:nsid w:val="5C0B56C5"/>
    <w:multiLevelType w:val="hybridMultilevel"/>
    <w:tmpl w:val="F58EDD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62133708"/>
    <w:multiLevelType w:val="hybridMultilevel"/>
    <w:tmpl w:val="C7B2A77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6AC96AA0"/>
    <w:multiLevelType w:val="hybridMultilevel"/>
    <w:tmpl w:val="6FC2C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264374D"/>
    <w:multiLevelType w:val="hybridMultilevel"/>
    <w:tmpl w:val="8D5EE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2"/>
  </w:num>
  <w:num w:numId="4">
    <w:abstractNumId w:val="6"/>
  </w:num>
  <w:num w:numId="5">
    <w:abstractNumId w:val="10"/>
  </w:num>
  <w:num w:numId="6">
    <w:abstractNumId w:val="11"/>
  </w:num>
  <w:num w:numId="7">
    <w:abstractNumId w:val="7"/>
  </w:num>
  <w:num w:numId="8">
    <w:abstractNumId w:val="5"/>
  </w:num>
  <w:num w:numId="9">
    <w:abstractNumId w:val="9"/>
  </w:num>
  <w:num w:numId="10">
    <w:abstractNumId w:val="8"/>
  </w:num>
  <w:num w:numId="11">
    <w:abstractNumId w:val="0"/>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8"/>
  <w:proofState w:spelling="clean" w:grammar="clean"/>
  <w:defaultTabStop w:val="720"/>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4D55"/>
    <w:rsid w:val="00040C67"/>
    <w:rsid w:val="00052DFE"/>
    <w:rsid w:val="0008667F"/>
    <w:rsid w:val="000D2BFB"/>
    <w:rsid w:val="001248AD"/>
    <w:rsid w:val="001353A9"/>
    <w:rsid w:val="00136056"/>
    <w:rsid w:val="0014257D"/>
    <w:rsid w:val="001C7C81"/>
    <w:rsid w:val="00232348"/>
    <w:rsid w:val="00233042"/>
    <w:rsid w:val="0023748C"/>
    <w:rsid w:val="002E5C9F"/>
    <w:rsid w:val="002F346E"/>
    <w:rsid w:val="00300E27"/>
    <w:rsid w:val="00322865"/>
    <w:rsid w:val="00345ECB"/>
    <w:rsid w:val="0036494B"/>
    <w:rsid w:val="00394C0D"/>
    <w:rsid w:val="003967F7"/>
    <w:rsid w:val="003B0839"/>
    <w:rsid w:val="003C500D"/>
    <w:rsid w:val="003C7F26"/>
    <w:rsid w:val="003E1903"/>
    <w:rsid w:val="003F0512"/>
    <w:rsid w:val="00401B30"/>
    <w:rsid w:val="00404C35"/>
    <w:rsid w:val="00424194"/>
    <w:rsid w:val="00437572"/>
    <w:rsid w:val="004452B8"/>
    <w:rsid w:val="00495E70"/>
    <w:rsid w:val="004A7C01"/>
    <w:rsid w:val="004B2982"/>
    <w:rsid w:val="004B76D4"/>
    <w:rsid w:val="004E0C95"/>
    <w:rsid w:val="00504B61"/>
    <w:rsid w:val="00532A89"/>
    <w:rsid w:val="00551DC5"/>
    <w:rsid w:val="00563B15"/>
    <w:rsid w:val="0059271D"/>
    <w:rsid w:val="005B798B"/>
    <w:rsid w:val="005F2B64"/>
    <w:rsid w:val="00612199"/>
    <w:rsid w:val="0065451F"/>
    <w:rsid w:val="00657237"/>
    <w:rsid w:val="00670182"/>
    <w:rsid w:val="006D176A"/>
    <w:rsid w:val="00711B64"/>
    <w:rsid w:val="00754E63"/>
    <w:rsid w:val="007671F3"/>
    <w:rsid w:val="007742CF"/>
    <w:rsid w:val="00787B41"/>
    <w:rsid w:val="007B57D4"/>
    <w:rsid w:val="00825E79"/>
    <w:rsid w:val="008442E9"/>
    <w:rsid w:val="00873694"/>
    <w:rsid w:val="00885C2E"/>
    <w:rsid w:val="00956100"/>
    <w:rsid w:val="009A144B"/>
    <w:rsid w:val="009C2293"/>
    <w:rsid w:val="009F05CA"/>
    <w:rsid w:val="00A47A21"/>
    <w:rsid w:val="00A70467"/>
    <w:rsid w:val="00A97092"/>
    <w:rsid w:val="00AC395C"/>
    <w:rsid w:val="00AF14A8"/>
    <w:rsid w:val="00B03E77"/>
    <w:rsid w:val="00B50723"/>
    <w:rsid w:val="00B60DAF"/>
    <w:rsid w:val="00BA222D"/>
    <w:rsid w:val="00BC1F40"/>
    <w:rsid w:val="00BE452C"/>
    <w:rsid w:val="00BE6044"/>
    <w:rsid w:val="00C07973"/>
    <w:rsid w:val="00C3265D"/>
    <w:rsid w:val="00C52123"/>
    <w:rsid w:val="00C80826"/>
    <w:rsid w:val="00C80F52"/>
    <w:rsid w:val="00CA5CDA"/>
    <w:rsid w:val="00CD7240"/>
    <w:rsid w:val="00D52DE3"/>
    <w:rsid w:val="00D60181"/>
    <w:rsid w:val="00D7748B"/>
    <w:rsid w:val="00D9769B"/>
    <w:rsid w:val="00DB5C1F"/>
    <w:rsid w:val="00DB600B"/>
    <w:rsid w:val="00DE14CE"/>
    <w:rsid w:val="00E03A20"/>
    <w:rsid w:val="00E12BAC"/>
    <w:rsid w:val="00E24B12"/>
    <w:rsid w:val="00E43343"/>
    <w:rsid w:val="00E55A7C"/>
    <w:rsid w:val="00E74336"/>
    <w:rsid w:val="00EB1511"/>
    <w:rsid w:val="00ED324E"/>
    <w:rsid w:val="00F32684"/>
    <w:rsid w:val="00F76A57"/>
    <w:rsid w:val="00FA3D8A"/>
    <w:rsid w:val="00FC030E"/>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9393"/>
    <o:shapelayout v:ext="edit">
      <o:idmap v:ext="edit" data="1"/>
    </o:shapelayout>
  </w:shapeDefaults>
  <w:decimalSymbol w:val="."/>
  <w:listSeparator w:val=","/>
  <w14:docId w14:val="748672B1"/>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basedOn w:val="Normal"/>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paragraph" w:customStyle="1" w:styleId="gmail-msonospacing">
    <w:name w:val="gmail-msonospacing"/>
    <w:basedOn w:val="Normal"/>
    <w:uiPriority w:val="99"/>
    <w:rsid w:val="002F346E"/>
    <w:pPr>
      <w:spacing w:before="100" w:beforeAutospacing="1" w:after="100" w:afterAutospacing="1" w:line="240" w:lineRule="auto"/>
    </w:pPr>
    <w:rPr>
      <w:rFonts w:ascii="Times New Roman" w:hAnsi="Times New Roman" w:cs="Times New Roman"/>
      <w:sz w:val="24"/>
      <w:szCs w:val="24"/>
      <w:lang w:val="en-GB" w:eastAsia="en-GB"/>
    </w:rPr>
  </w:style>
  <w:style w:type="paragraph" w:customStyle="1" w:styleId="xxmsoplaintext">
    <w:name w:val="x_x_msoplaintext"/>
    <w:basedOn w:val="Normal"/>
    <w:rsid w:val="006D176A"/>
    <w:pPr>
      <w:spacing w:after="0" w:line="240" w:lineRule="auto"/>
    </w:pPr>
    <w:rPr>
      <w:rFonts w:ascii="Calibri" w:hAnsi="Calibri" w:cs="Calibri"/>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2724585">
      <w:bodyDiv w:val="1"/>
      <w:marLeft w:val="0"/>
      <w:marRight w:val="0"/>
      <w:marTop w:val="0"/>
      <w:marBottom w:val="0"/>
      <w:divBdr>
        <w:top w:val="none" w:sz="0" w:space="0" w:color="auto"/>
        <w:left w:val="none" w:sz="0" w:space="0" w:color="auto"/>
        <w:bottom w:val="none" w:sz="0" w:space="0" w:color="auto"/>
        <w:right w:val="none" w:sz="0" w:space="0" w:color="auto"/>
      </w:divBdr>
    </w:div>
    <w:div w:id="347635249">
      <w:bodyDiv w:val="1"/>
      <w:marLeft w:val="0"/>
      <w:marRight w:val="0"/>
      <w:marTop w:val="0"/>
      <w:marBottom w:val="0"/>
      <w:divBdr>
        <w:top w:val="none" w:sz="0" w:space="0" w:color="auto"/>
        <w:left w:val="none" w:sz="0" w:space="0" w:color="auto"/>
        <w:bottom w:val="none" w:sz="0" w:space="0" w:color="auto"/>
        <w:right w:val="none" w:sz="0" w:space="0" w:color="auto"/>
      </w:divBdr>
    </w:div>
    <w:div w:id="362288321">
      <w:bodyDiv w:val="1"/>
      <w:marLeft w:val="0"/>
      <w:marRight w:val="0"/>
      <w:marTop w:val="0"/>
      <w:marBottom w:val="0"/>
      <w:divBdr>
        <w:top w:val="none" w:sz="0" w:space="0" w:color="auto"/>
        <w:left w:val="none" w:sz="0" w:space="0" w:color="auto"/>
        <w:bottom w:val="none" w:sz="0" w:space="0" w:color="auto"/>
        <w:right w:val="none" w:sz="0" w:space="0" w:color="auto"/>
      </w:divBdr>
    </w:div>
    <w:div w:id="496073363">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55302100">
      <w:bodyDiv w:val="1"/>
      <w:marLeft w:val="0"/>
      <w:marRight w:val="0"/>
      <w:marTop w:val="0"/>
      <w:marBottom w:val="0"/>
      <w:divBdr>
        <w:top w:val="none" w:sz="0" w:space="0" w:color="auto"/>
        <w:left w:val="none" w:sz="0" w:space="0" w:color="auto"/>
        <w:bottom w:val="none" w:sz="0" w:space="0" w:color="auto"/>
        <w:right w:val="none" w:sz="0" w:space="0" w:color="auto"/>
      </w:divBdr>
    </w:div>
    <w:div w:id="741683502">
      <w:bodyDiv w:val="1"/>
      <w:marLeft w:val="0"/>
      <w:marRight w:val="0"/>
      <w:marTop w:val="0"/>
      <w:marBottom w:val="0"/>
      <w:divBdr>
        <w:top w:val="none" w:sz="0" w:space="0" w:color="auto"/>
        <w:left w:val="none" w:sz="0" w:space="0" w:color="auto"/>
        <w:bottom w:val="none" w:sz="0" w:space="0" w:color="auto"/>
        <w:right w:val="none" w:sz="0" w:space="0" w:color="auto"/>
      </w:divBdr>
    </w:div>
    <w:div w:id="819421897">
      <w:bodyDiv w:val="1"/>
      <w:marLeft w:val="0"/>
      <w:marRight w:val="0"/>
      <w:marTop w:val="0"/>
      <w:marBottom w:val="0"/>
      <w:divBdr>
        <w:top w:val="none" w:sz="0" w:space="0" w:color="auto"/>
        <w:left w:val="none" w:sz="0" w:space="0" w:color="auto"/>
        <w:bottom w:val="none" w:sz="0" w:space="0" w:color="auto"/>
        <w:right w:val="none" w:sz="0" w:space="0" w:color="auto"/>
      </w:divBdr>
    </w:div>
    <w:div w:id="1034571932">
      <w:bodyDiv w:val="1"/>
      <w:marLeft w:val="0"/>
      <w:marRight w:val="0"/>
      <w:marTop w:val="0"/>
      <w:marBottom w:val="0"/>
      <w:divBdr>
        <w:top w:val="none" w:sz="0" w:space="0" w:color="auto"/>
        <w:left w:val="none" w:sz="0" w:space="0" w:color="auto"/>
        <w:bottom w:val="none" w:sz="0" w:space="0" w:color="auto"/>
        <w:right w:val="none" w:sz="0" w:space="0" w:color="auto"/>
      </w:divBdr>
    </w:div>
    <w:div w:id="1575236758">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990285454">
      <w:bodyDiv w:val="1"/>
      <w:marLeft w:val="0"/>
      <w:marRight w:val="0"/>
      <w:marTop w:val="0"/>
      <w:marBottom w:val="0"/>
      <w:divBdr>
        <w:top w:val="none" w:sz="0" w:space="0" w:color="auto"/>
        <w:left w:val="none" w:sz="0" w:space="0" w:color="auto"/>
        <w:bottom w:val="none" w:sz="0" w:space="0" w:color="auto"/>
        <w:right w:val="none" w:sz="0" w:space="0" w:color="auto"/>
      </w:divBdr>
    </w:div>
    <w:div w:id="20837197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wales@ico.gsi.gov.uk"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119F898-5369-4C59-85AE-E051454830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953</Words>
  <Characters>5437</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6378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John Kelland</dc:creator>
  <cp:lastModifiedBy>Julie Mann (Velindre - Corporate Services)</cp:lastModifiedBy>
  <cp:revision>2</cp:revision>
  <cp:lastPrinted>2015-05-07T10:14:00Z</cp:lastPrinted>
  <dcterms:created xsi:type="dcterms:W3CDTF">2021-10-28T13:55:00Z</dcterms:created>
  <dcterms:modified xsi:type="dcterms:W3CDTF">2021-10-28T13:55:00Z</dcterms:modified>
</cp:coreProperties>
</file>